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Formulaire à remplir par les partenaires non chercheurs associés à l’équipe de recherche française bénéficiaire des fonds demandés au Health Data Hub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ind w:left="720" w:hanging="360"/>
        <w:rPr>
          <w:rFonts w:ascii="Tahoma" w:cs="Tahoma" w:eastAsia="Tahoma" w:hAnsi="Tahoma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Présentation de l’entité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59.779527559055"/>
        <w:gridCol w:w="5565.732283464567"/>
        <w:tblGridChange w:id="0">
          <w:tblGrid>
            <w:gridCol w:w="3459.779527559055"/>
            <w:gridCol w:w="5565.732283464567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808080" w:space="0" w:sz="6" w:val="single"/>
            </w:tcBorders>
            <w:shd w:fill="03628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Raison sociale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808080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808080" w:space="0" w:sz="6" w:val="single"/>
            </w:tcBorders>
            <w:shd w:fill="03628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Nom commercial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808080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03628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Présentation de l’entité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ffffff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03628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Rôle et apport dans l’équipe projet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6" w:val="single"/>
              <w:left w:color="ffffff" w:space="0" w:sz="6" w:val="single"/>
              <w:bottom w:color="036287" w:space="0" w:sz="6" w:val="single"/>
              <w:right w:color="03628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.617187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036287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36287" w:space="0" w:sz="6" w:val="single"/>
              <w:left w:color="ffffff" w:space="0" w:sz="6" w:val="single"/>
              <w:bottom w:color="036287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36287" w:space="0" w:sz="6" w:val="single"/>
              <w:left w:color="036287" w:space="0" w:sz="6" w:val="single"/>
              <w:bottom w:color="333333" w:space="0" w:sz="6" w:val="single"/>
              <w:right w:color="036287" w:space="0" w:sz="6" w:val="single"/>
            </w:tcBorders>
            <w:shd w:fill="03628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Données financières et compte de résultat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Actionnariat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gridSpan w:val="2"/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03628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Données financières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  <w:rtl w:val="0"/>
              </w:rPr>
              <w:t xml:space="preserve"> Fournir des éléments d’appréciation de l’évolution sur les 3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  <w:rtl w:val="0"/>
              </w:rPr>
              <w:t xml:space="preserve">dernières années des paramètres indiqués dans le tableau (Chiffres d’affaires, résultat net,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  <w:rtl w:val="0"/>
              </w:rPr>
              <w:t xml:space="preserve">capitaux propres ...)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Tahoma" w:cs="Tahoma" w:eastAsia="Tahoma" w:hAnsi="Tahoma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Prévisionnel clôture (en €)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Dernier exercice clôturé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Exercice clôturé N 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Exercice clôturé N 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Bilan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Capital social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Capitaux propres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Endettements externes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Compte de résultats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Chiffre d’affaire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Résultat d’exploitation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Résultat net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20"/>
                <w:szCs w:val="20"/>
                <w:rtl w:val="0"/>
              </w:rPr>
              <w:t xml:space="preserve">Capacité d’autofinancement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ahoma" w:cs="Tahoma" w:eastAsia="Tahoma" w:hAnsi="Tahom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>
        <w:rFonts w:ascii="Tahoma" w:cs="Tahoma" w:eastAsia="Tahoma" w:hAnsi="Tahoma"/>
      </w:rPr>
    </w:pPr>
    <w:r w:rsidDel="00000000" w:rsidR="00000000" w:rsidRPr="00000000">
      <w:rPr>
        <w:rFonts w:ascii="Tahoma" w:cs="Tahoma" w:eastAsia="Tahoma" w:hAnsi="Tahom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160" w:line="259" w:lineRule="auto"/>
      <w:rPr/>
    </w:pPr>
    <w:r w:rsidDel="00000000" w:rsidR="00000000" w:rsidRPr="00000000">
      <w:rPr>
        <w:rFonts w:ascii="Calibri" w:cs="Calibri" w:eastAsia="Calibri" w:hAnsi="Calibri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6655125</wp:posOffset>
          </wp:positionH>
          <wp:positionV relativeFrom="page">
            <wp:posOffset>28575</wp:posOffset>
          </wp:positionV>
          <wp:extent cx="972329" cy="891302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071688" cy="439449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439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cs="Arial" w:eastAsia="Arial" w:hAnsi="Arial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1440" w:hanging="720"/>
    </w:pPr>
    <w:rPr>
      <w:rFonts w:ascii="Tahoma" w:cs="Tahoma" w:eastAsia="Tahoma" w:hAnsi="Tahoma"/>
      <w:color w:val="1b8ba9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Montserrat" w:cs="Montserrat" w:eastAsia="Montserrat" w:hAnsi="Montserrat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1440" w:hanging="720"/>
    </w:pPr>
    <w:rPr>
      <w:rFonts w:ascii="Tahoma" w:cs="Tahoma" w:eastAsia="Tahoma" w:hAnsi="Tahoma"/>
      <w:color w:val="1b8ba9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Montserrat" w:cs="Montserrat" w:eastAsia="Montserrat" w:hAnsi="Montserrat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AL5P07uwAwpBa/oiwiKFbn94w==">AMUW2mXVFQR64ofl+ZXZsTow7IOzxQAkBDBrzZ3OwWz2ipIFE7X/ZhxyR+ChpQpj6vH32hZmdLlQdm8DK3aPEbQTRquXwlO0n7q2MCebylIaeaEXf1QiCTB15zd2F+9RZ4qlHgbpjGyXxz0uCDZ6MuTacl0fzrXfy4nvda2Up6Dyt5C5hU/6b70K+rLJvxPCIQEPtDESaZdKwsrkkgZ24HIHuBuUHmFQiT/AYd7WawUv5gs3rsiSFePt0yadg65oNywe2+9y/J6wiLVXFeKuUuYql6dwXi4GgBlFCfgpc/CHOmIV6+ydc3TZxRBIXNdZjHQn1BZFn5F/pefsYB1CayXD5odmydzDl58JVQYtQ2dXpDCvuPwfvNsoySYIzvnWfibbI8l5wLXffV50agij276IsM8iZ3MXKbTmTQlFjfdCY4h8rvRGxHW5fgymA9eTIR08ozWz/WWk+EQXNLSyk7m6/fVbpPI3iUZ8NK7LdNYdxBIM0tBaehQ3a7zO8rM7Vb7BISOWyrcUNAjbMOZtOiooAIltIKENtHiAMB+QSnvAj+1SHJj4dTbjL9SpP094utKNin4qc0RTl04QHxbNjOapDUHWJkJ+L6sKbY8s0c6BsgpCV1FNgmpEqyHgfO8NhODsJGS34B24R/4khUHilXK1jfGcLXvdTN/JKzai0C4CBVrQu9Cq9lFzz20hOvq977lpPRg79vL3f5r2xEB1GOSKqIQoYCWMuOBSeLTrAm7Mpz8kANfMrll9/OFIs1vt9muCNeBxSnLFaRh83LnRjE33KLT+ss2UCveu+F/0ajAAXV5vh/2baaeBfbZTG0N/9RnPp2EYV+fbGIV647PLnByMEGmpnV68hEHepYj061cMvrLhO5ekOTCO+xM+7w30yHgs15j7ei+COzgZMpbNl5cWfts742Vnm8g9m80b1EYswiBCuBu6Ds3Uk/Gdw3v5eUP6qAmo1TJykPEbj1yaoTREpdk1ddnvqM/Vk+/LcVmsa/D9rJsHaX6cHgtGCpGPcNx/FLrFdRi5uVQssWSBEiKASRuPMKA8wReLStuxeHjBtoaUX7kOcesIecCxP8IEvf3wvN11Nn2OVwkrCIyuNwsEP8C77BBlrD0PITm303ZqwV/maM7sF3HMsxmfEGWAjNhxJvPJg4vnsByDFUx/feCSdtuuPM4+4eirYMr1nGilLZK1ibm1u3DvH50mleQ5SMRnTIriH77AT/f5l/eLLeu2zqVRGUFmOCQ4rNUQnVvIa4JNBVyvodamTUHBQISfthhddShcMLuKdwPVJ/D19el6Are5y3uyJZe4AF0suvRGQTM5/QSXYH0awT75sbLytTrp2JcY8CB5rcbtfsJcSZ68GY+E0B45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