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D0F4" w14:textId="23152C4C" w:rsidR="00BE61D9" w:rsidRDefault="00BE61D9" w:rsidP="00F25BCE">
      <w:pPr>
        <w:pStyle w:val="Titre"/>
      </w:pPr>
      <w:r w:rsidRPr="002C4432">
        <w:t xml:space="preserve">Bourses postdoctorales </w:t>
      </w:r>
      <w:r w:rsidR="004D3DC0" w:rsidRPr="002C4432">
        <w:t>202</w:t>
      </w:r>
      <w:r w:rsidR="004D3DC0">
        <w:t>7</w:t>
      </w:r>
      <w:r w:rsidR="00732EF7" w:rsidRPr="002C4432">
        <w:t>-</w:t>
      </w:r>
      <w:r w:rsidR="004D3DC0" w:rsidRPr="002C4432">
        <w:t>202</w:t>
      </w:r>
      <w:r w:rsidR="004D3DC0">
        <w:t>8</w:t>
      </w:r>
      <w:r w:rsidR="004D3DC0" w:rsidRPr="002C4432">
        <w:t xml:space="preserve"> </w:t>
      </w:r>
      <w:r w:rsidRPr="002C4432">
        <w:t>(B3)</w:t>
      </w:r>
    </w:p>
    <w:p w14:paraId="3AB00CF3" w14:textId="77777777" w:rsidR="00676937" w:rsidRPr="00300094" w:rsidRDefault="00676937" w:rsidP="00AA5461">
      <w:pPr>
        <w:pStyle w:val="Titre1"/>
      </w:pPr>
      <w:bookmarkStart w:id="0" w:name="_Toc200455461"/>
      <w:bookmarkStart w:id="1" w:name="_Toc233714284"/>
      <w:r w:rsidRPr="00300094">
        <w:t xml:space="preserve">Notes </w:t>
      </w:r>
      <w:bookmarkEnd w:id="0"/>
      <w:r>
        <w:t>de production</w:t>
      </w:r>
      <w:bookmarkEnd w:id="1"/>
    </w:p>
    <w:p w14:paraId="0EED9A33" w14:textId="77777777" w:rsidR="00676937" w:rsidRDefault="00676937" w:rsidP="00676937">
      <w:pPr>
        <w:rPr>
          <w:rFonts w:cs="Arial"/>
          <w:szCs w:val="24"/>
          <w:lang w:eastAsia="fr-CA"/>
        </w:rPr>
      </w:pPr>
      <w:r w:rsidRPr="00300094">
        <w:rPr>
          <w:rFonts w:cs="Arial"/>
          <w:lang w:eastAsia="fr-CA"/>
        </w:rPr>
        <w:t>{Avis sur l'accessibilité: Ce document est</w:t>
      </w:r>
      <w:r>
        <w:rPr>
          <w:rFonts w:cs="Arial"/>
          <w:lang w:eastAsia="fr-CA"/>
        </w:rPr>
        <w:t xml:space="preserve"> une</w:t>
      </w:r>
      <w:r w:rsidRPr="00300094">
        <w:rPr>
          <w:rFonts w:cs="Arial"/>
          <w:lang w:eastAsia="fr-CA"/>
        </w:rPr>
        <w:t xml:space="preserve"> </w:t>
      </w:r>
      <w:r w:rsidRPr="0097231C">
        <w:rPr>
          <w:rFonts w:cs="Arial"/>
          <w:lang w:eastAsia="fr-CA"/>
        </w:rPr>
        <w:t>version de rechange équivalente et accessible</w:t>
      </w:r>
      <w:r w:rsidRPr="00300094">
        <w:rPr>
          <w:rFonts w:cs="Arial"/>
          <w:lang w:eastAsia="fr-CA"/>
        </w:rPr>
        <w:t xml:space="preserve">. </w:t>
      </w:r>
      <w:r w:rsidRPr="003119B7">
        <w:rPr>
          <w:rFonts w:cs="Arial"/>
          <w:szCs w:val="24"/>
          <w:lang w:eastAsia="fr-CA"/>
        </w:rPr>
        <w:t xml:space="preserve">La version officielle de ces règles de programme est celle disponible </w:t>
      </w:r>
      <w:r>
        <w:rPr>
          <w:rFonts w:cs="Arial"/>
          <w:szCs w:val="24"/>
          <w:lang w:eastAsia="fr-CA"/>
        </w:rPr>
        <w:t xml:space="preserve">en format HTML </w:t>
      </w:r>
      <w:r w:rsidRPr="003119B7">
        <w:rPr>
          <w:rFonts w:cs="Arial"/>
          <w:szCs w:val="24"/>
          <w:lang w:eastAsia="fr-CA"/>
        </w:rPr>
        <w:t>en français sur le site internet du FRQ. En cas de divergence entre la présente version et la version officielle, cette dernière prévaut en tout temps</w:t>
      </w:r>
      <w:r w:rsidRPr="00932556">
        <w:rPr>
          <w:rFonts w:cs="Arial"/>
          <w:szCs w:val="24"/>
          <w:lang w:eastAsia="fr-CA"/>
        </w:rPr>
        <w:t>.</w:t>
      </w:r>
    </w:p>
    <w:p w14:paraId="4C415AC9" w14:textId="77777777" w:rsidR="00676937" w:rsidRPr="00932556" w:rsidRDefault="00676937" w:rsidP="00676937">
      <w:pPr>
        <w:rPr>
          <w:rFonts w:cs="Arial"/>
          <w:szCs w:val="24"/>
          <w:lang w:eastAsia="fr-CA"/>
        </w:rPr>
      </w:pPr>
      <w:r>
        <w:rPr>
          <w:lang w:eastAsia="fr-CA"/>
        </w:rPr>
        <w:t>Note: Assurez-vous de modifier les paramètres de votre logiciel lecteur d'écran, tel que Jaws, en activant la détection des langues et la lecture de la plupart des ponctuations.</w:t>
      </w:r>
      <w:r w:rsidRPr="00932556">
        <w:rPr>
          <w:rFonts w:cs="Arial"/>
          <w:szCs w:val="24"/>
          <w:lang w:eastAsia="fr-CA"/>
        </w:rPr>
        <w:t>}</w:t>
      </w:r>
    </w:p>
    <w:p w14:paraId="0244BD12" w14:textId="77777777" w:rsidR="00676937" w:rsidRDefault="00676937" w:rsidP="00AA5461">
      <w:pPr>
        <w:pStyle w:val="Titre1"/>
        <w:rPr>
          <w:lang w:eastAsia="fr-CA"/>
        </w:rPr>
      </w:pPr>
      <w:bookmarkStart w:id="2" w:name="_Toc198194583"/>
      <w:bookmarkStart w:id="3" w:name="_Toc200455462"/>
      <w:bookmarkStart w:id="4" w:name="_Toc233714285"/>
      <w:r>
        <w:rPr>
          <w:lang w:eastAsia="fr-CA"/>
        </w:rPr>
        <w:t>Symboles spéciaux</w:t>
      </w:r>
      <w:bookmarkEnd w:id="2"/>
      <w:bookmarkEnd w:id="3"/>
      <w:bookmarkEnd w:id="4"/>
    </w:p>
    <w:p w14:paraId="22160C2B" w14:textId="77777777" w:rsidR="00676937" w:rsidRPr="00014C72" w:rsidRDefault="00676937" w:rsidP="00676937">
      <w:pPr>
        <w:rPr>
          <w:lang w:eastAsia="fr-CA"/>
        </w:rPr>
      </w:pPr>
      <w:r w:rsidRPr="00014C72">
        <w:rPr>
          <w:lang w:eastAsia="fr-CA"/>
        </w:rPr>
        <w:t>{n suivi d'un chiffre, d'un * ou de tout autre indicateur d'appel} indique la présence d'un appel de note dans le texte et introduit la note de bas de page correspondante</w:t>
      </w:r>
      <w:r>
        <w:rPr>
          <w:lang w:eastAsia="fr-CA"/>
        </w:rPr>
        <w:t>.</w:t>
      </w:r>
    </w:p>
    <w:p w14:paraId="42DDA30B" w14:textId="29871065" w:rsidR="00676937" w:rsidRDefault="00676937" w:rsidP="00AA5461">
      <w:pPr>
        <w:pStyle w:val="Titre1"/>
      </w:pPr>
      <w:bookmarkStart w:id="5" w:name="_Toc198194584"/>
      <w:bookmarkStart w:id="6" w:name="_Toc200455463"/>
      <w:bookmarkStart w:id="7" w:name="_Toc233714286"/>
      <w:r w:rsidRPr="008902C6">
        <w:t>Liens de navigation</w:t>
      </w:r>
      <w:bookmarkEnd w:id="5"/>
      <w:bookmarkEnd w:id="6"/>
      <w:bookmarkEnd w:id="7"/>
    </w:p>
    <w:p w14:paraId="22CC42E8" w14:textId="77777777" w:rsidR="001C3088" w:rsidRDefault="00676937">
      <w:pPr>
        <w:pStyle w:val="TM1"/>
        <w:rPr>
          <w:rFonts w:asciiTheme="minorHAnsi" w:eastAsiaTheme="minorEastAsia" w:hAnsiTheme="minorHAnsi"/>
          <w:noProof/>
          <w:szCs w:val="24"/>
          <w:lang w:eastAsia="fr-FR"/>
        </w:rPr>
      </w:pPr>
      <w:r w:rsidRPr="00021B18">
        <w:rPr>
          <w:rFonts w:cs="Arial"/>
          <w:b/>
          <w:bCs/>
          <w:noProof/>
          <w:szCs w:val="24"/>
        </w:rPr>
        <w:fldChar w:fldCharType="begin"/>
      </w:r>
      <w:r w:rsidRPr="00676937">
        <w:rPr>
          <w:rFonts w:cs="Arial"/>
          <w:szCs w:val="24"/>
        </w:rPr>
        <w:instrText xml:space="preserve"> TOC \o "1-3" \n \h \z \u </w:instrText>
      </w:r>
      <w:r w:rsidRPr="00021B18">
        <w:rPr>
          <w:rFonts w:cs="Arial"/>
          <w:b/>
          <w:bCs/>
          <w:noProof/>
          <w:szCs w:val="24"/>
        </w:rPr>
        <w:fldChar w:fldCharType="separate"/>
      </w:r>
      <w:hyperlink w:anchor="_Toc233714284" w:history="1">
        <w:r w:rsidR="001C3088" w:rsidRPr="00CA5F5A">
          <w:rPr>
            <w:rStyle w:val="Lienhypertexte"/>
            <w:noProof/>
          </w:rPr>
          <w:t>Notes de production</w:t>
        </w:r>
      </w:hyperlink>
    </w:p>
    <w:p w14:paraId="112F8398" w14:textId="77777777" w:rsidR="001C3088" w:rsidRDefault="001C3088">
      <w:pPr>
        <w:pStyle w:val="TM1"/>
        <w:rPr>
          <w:rFonts w:asciiTheme="minorHAnsi" w:eastAsiaTheme="minorEastAsia" w:hAnsiTheme="minorHAnsi"/>
          <w:noProof/>
          <w:szCs w:val="24"/>
          <w:lang w:eastAsia="fr-FR"/>
        </w:rPr>
      </w:pPr>
      <w:hyperlink w:anchor="_Toc233714285" w:history="1">
        <w:r w:rsidRPr="00CA5F5A">
          <w:rPr>
            <w:rStyle w:val="Lienhypertexte"/>
            <w:noProof/>
            <w:lang w:eastAsia="fr-CA"/>
          </w:rPr>
          <w:t>Symboles spéciaux</w:t>
        </w:r>
      </w:hyperlink>
    </w:p>
    <w:p w14:paraId="66D8125E" w14:textId="77777777" w:rsidR="001C3088" w:rsidRDefault="001C3088">
      <w:pPr>
        <w:pStyle w:val="TM1"/>
        <w:rPr>
          <w:rFonts w:asciiTheme="minorHAnsi" w:eastAsiaTheme="minorEastAsia" w:hAnsiTheme="minorHAnsi"/>
          <w:noProof/>
          <w:szCs w:val="24"/>
          <w:lang w:eastAsia="fr-FR"/>
        </w:rPr>
      </w:pPr>
      <w:hyperlink w:anchor="_Toc233714286" w:history="1">
        <w:r w:rsidRPr="00CA5F5A">
          <w:rPr>
            <w:rStyle w:val="Lienhypertexte"/>
            <w:noProof/>
          </w:rPr>
          <w:t>Liens de navigation</w:t>
        </w:r>
      </w:hyperlink>
    </w:p>
    <w:p w14:paraId="0A458A2D" w14:textId="77777777" w:rsidR="001C3088" w:rsidRDefault="001C3088">
      <w:pPr>
        <w:pStyle w:val="TM1"/>
        <w:rPr>
          <w:rFonts w:asciiTheme="minorHAnsi" w:eastAsiaTheme="minorEastAsia" w:hAnsiTheme="minorHAnsi"/>
          <w:noProof/>
          <w:szCs w:val="24"/>
          <w:lang w:eastAsia="fr-FR"/>
        </w:rPr>
      </w:pPr>
      <w:hyperlink w:anchor="_Toc233714287" w:history="1">
        <w:r w:rsidRPr="00CA5F5A">
          <w:rPr>
            <w:rStyle w:val="Lienhypertexte"/>
            <w:noProof/>
          </w:rPr>
          <w:t>Bourses postdoctorales 2027-2028 (B3)</w:t>
        </w:r>
      </w:hyperlink>
    </w:p>
    <w:p w14:paraId="28D294A6" w14:textId="77777777" w:rsidR="001C3088" w:rsidRDefault="001C3088">
      <w:pPr>
        <w:pStyle w:val="TM2"/>
        <w:tabs>
          <w:tab w:val="right" w:leader="dot" w:pos="9062"/>
        </w:tabs>
        <w:rPr>
          <w:rFonts w:asciiTheme="minorHAnsi" w:eastAsiaTheme="minorEastAsia" w:hAnsiTheme="minorHAnsi"/>
          <w:noProof/>
          <w:szCs w:val="24"/>
          <w:lang w:eastAsia="fr-FR"/>
        </w:rPr>
      </w:pPr>
      <w:hyperlink w:anchor="_Toc233714288" w:history="1">
        <w:r w:rsidRPr="00CA5F5A">
          <w:rPr>
            <w:rStyle w:val="Lienhypertexte"/>
            <w:noProof/>
          </w:rPr>
          <w:t>Rappels importants</w:t>
        </w:r>
      </w:hyperlink>
    </w:p>
    <w:p w14:paraId="319D75E7" w14:textId="77777777" w:rsidR="001C3088" w:rsidRDefault="001C3088">
      <w:pPr>
        <w:pStyle w:val="TM2"/>
        <w:tabs>
          <w:tab w:val="right" w:leader="dot" w:pos="9062"/>
        </w:tabs>
        <w:rPr>
          <w:rFonts w:asciiTheme="minorHAnsi" w:eastAsiaTheme="minorEastAsia" w:hAnsiTheme="minorHAnsi"/>
          <w:noProof/>
          <w:szCs w:val="24"/>
          <w:lang w:eastAsia="fr-FR"/>
        </w:rPr>
      </w:pPr>
      <w:hyperlink w:anchor="_Toc233714289" w:history="1">
        <w:r w:rsidRPr="00CA5F5A">
          <w:rPr>
            <w:rStyle w:val="Lienhypertexte"/>
            <w:noProof/>
          </w:rPr>
          <w:t>Aperçu du processus d’évaluation des demandes</w:t>
        </w:r>
      </w:hyperlink>
    </w:p>
    <w:p w14:paraId="00C0F158" w14:textId="77777777" w:rsidR="001C3088" w:rsidRDefault="001C3088">
      <w:pPr>
        <w:pStyle w:val="TM2"/>
        <w:tabs>
          <w:tab w:val="right" w:leader="dot" w:pos="9062"/>
        </w:tabs>
        <w:rPr>
          <w:rFonts w:asciiTheme="minorHAnsi" w:eastAsiaTheme="minorEastAsia" w:hAnsiTheme="minorHAnsi"/>
          <w:noProof/>
          <w:szCs w:val="24"/>
          <w:lang w:eastAsia="fr-FR"/>
        </w:rPr>
      </w:pPr>
      <w:hyperlink w:anchor="_Toc233714290" w:history="1">
        <w:r w:rsidRPr="00CA5F5A">
          <w:rPr>
            <w:rStyle w:val="Lienhypertexte"/>
            <w:noProof/>
          </w:rPr>
          <w:t>Table des matières</w:t>
        </w:r>
      </w:hyperlink>
    </w:p>
    <w:p w14:paraId="04F768F5" w14:textId="77777777" w:rsidR="001C3088" w:rsidRDefault="001C3088">
      <w:pPr>
        <w:pStyle w:val="TM2"/>
        <w:tabs>
          <w:tab w:val="left" w:pos="720"/>
          <w:tab w:val="right" w:leader="dot" w:pos="9062"/>
        </w:tabs>
        <w:rPr>
          <w:rFonts w:asciiTheme="minorHAnsi" w:eastAsiaTheme="minorEastAsia" w:hAnsiTheme="minorHAnsi"/>
          <w:noProof/>
          <w:szCs w:val="24"/>
          <w:lang w:eastAsia="fr-FR"/>
        </w:rPr>
      </w:pPr>
      <w:hyperlink w:anchor="_Toc233714291" w:history="1">
        <w:r w:rsidRPr="00CA5F5A">
          <w:rPr>
            <w:rStyle w:val="Lienhypertexte"/>
            <w:noProof/>
          </w:rPr>
          <w:t>1.</w:t>
        </w:r>
        <w:r>
          <w:rPr>
            <w:rFonts w:asciiTheme="minorHAnsi" w:eastAsiaTheme="minorEastAsia" w:hAnsiTheme="minorHAnsi"/>
            <w:noProof/>
            <w:szCs w:val="24"/>
            <w:lang w:eastAsia="fr-FR"/>
          </w:rPr>
          <w:tab/>
        </w:r>
        <w:r w:rsidRPr="00CA5F5A">
          <w:rPr>
            <w:rStyle w:val="Lienhypertexte"/>
            <w:noProof/>
          </w:rPr>
          <w:t>Objectifs</w:t>
        </w:r>
      </w:hyperlink>
    </w:p>
    <w:p w14:paraId="22822406" w14:textId="77777777" w:rsidR="001C3088" w:rsidRDefault="001C3088">
      <w:pPr>
        <w:pStyle w:val="TM2"/>
        <w:tabs>
          <w:tab w:val="left" w:pos="720"/>
          <w:tab w:val="right" w:leader="dot" w:pos="9062"/>
        </w:tabs>
        <w:rPr>
          <w:rFonts w:asciiTheme="minorHAnsi" w:eastAsiaTheme="minorEastAsia" w:hAnsiTheme="minorHAnsi"/>
          <w:noProof/>
          <w:szCs w:val="24"/>
          <w:lang w:eastAsia="fr-FR"/>
        </w:rPr>
      </w:pPr>
      <w:hyperlink w:anchor="_Toc233714292" w:history="1">
        <w:r w:rsidRPr="00CA5F5A">
          <w:rPr>
            <w:rStyle w:val="Lienhypertexte"/>
            <w:noProof/>
          </w:rPr>
          <w:t>2.</w:t>
        </w:r>
        <w:r>
          <w:rPr>
            <w:rFonts w:asciiTheme="minorHAnsi" w:eastAsiaTheme="minorEastAsia" w:hAnsiTheme="minorHAnsi"/>
            <w:noProof/>
            <w:szCs w:val="24"/>
            <w:lang w:eastAsia="fr-FR"/>
          </w:rPr>
          <w:tab/>
        </w:r>
        <w:r w:rsidRPr="00CA5F5A">
          <w:rPr>
            <w:rStyle w:val="Lienhypertexte"/>
            <w:noProof/>
          </w:rPr>
          <w:t>Caractéristiques du financement</w:t>
        </w:r>
      </w:hyperlink>
    </w:p>
    <w:p w14:paraId="75ACAECF"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293" w:history="1">
        <w:r w:rsidRPr="00CA5F5A">
          <w:rPr>
            <w:rStyle w:val="Lienhypertexte"/>
            <w:noProof/>
          </w:rPr>
          <w:t>2.1.</w:t>
        </w:r>
        <w:r>
          <w:rPr>
            <w:rFonts w:asciiTheme="minorHAnsi" w:eastAsiaTheme="minorEastAsia" w:hAnsiTheme="minorHAnsi"/>
            <w:noProof/>
            <w:szCs w:val="24"/>
            <w:lang w:eastAsia="fr-FR"/>
          </w:rPr>
          <w:tab/>
        </w:r>
        <w:r w:rsidRPr="00CA5F5A">
          <w:rPr>
            <w:rStyle w:val="Lienhypertexte"/>
            <w:noProof/>
          </w:rPr>
          <w:t>Valeur et durée de la bourse</w:t>
        </w:r>
      </w:hyperlink>
    </w:p>
    <w:p w14:paraId="7CBB37B0"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296" w:history="1">
        <w:r w:rsidRPr="00CA5F5A">
          <w:rPr>
            <w:rStyle w:val="Lienhypertexte"/>
            <w:noProof/>
          </w:rPr>
          <w:t>2.2.</w:t>
        </w:r>
        <w:r>
          <w:rPr>
            <w:rFonts w:asciiTheme="minorHAnsi" w:eastAsiaTheme="minorEastAsia" w:hAnsiTheme="minorHAnsi"/>
            <w:noProof/>
            <w:szCs w:val="24"/>
            <w:lang w:eastAsia="fr-FR"/>
          </w:rPr>
          <w:tab/>
        </w:r>
        <w:r w:rsidRPr="00CA5F5A">
          <w:rPr>
            <w:rStyle w:val="Lienhypertexte"/>
            <w:bCs/>
            <w:noProof/>
          </w:rPr>
          <w:t>Supplément pour milieu d’accueil situé</w:t>
        </w:r>
        <w:r w:rsidRPr="00CA5F5A">
          <w:rPr>
            <w:rStyle w:val="Lienhypertexte"/>
            <w:noProof/>
          </w:rPr>
          <w:t xml:space="preserve"> à l’extérieur du Québec</w:t>
        </w:r>
      </w:hyperlink>
    </w:p>
    <w:p w14:paraId="35546688" w14:textId="77777777" w:rsidR="001C3088" w:rsidRDefault="001C3088">
      <w:pPr>
        <w:pStyle w:val="TM2"/>
        <w:tabs>
          <w:tab w:val="left" w:pos="720"/>
          <w:tab w:val="right" w:leader="dot" w:pos="9062"/>
        </w:tabs>
        <w:rPr>
          <w:rFonts w:asciiTheme="minorHAnsi" w:eastAsiaTheme="minorEastAsia" w:hAnsiTheme="minorHAnsi"/>
          <w:noProof/>
          <w:szCs w:val="24"/>
          <w:lang w:eastAsia="fr-FR"/>
        </w:rPr>
      </w:pPr>
      <w:hyperlink w:anchor="_Toc233714297" w:history="1">
        <w:r w:rsidRPr="00CA5F5A">
          <w:rPr>
            <w:rStyle w:val="Lienhypertexte"/>
            <w:noProof/>
          </w:rPr>
          <w:t>3.</w:t>
        </w:r>
        <w:r>
          <w:rPr>
            <w:rFonts w:asciiTheme="minorHAnsi" w:eastAsiaTheme="minorEastAsia" w:hAnsiTheme="minorHAnsi"/>
            <w:noProof/>
            <w:szCs w:val="24"/>
            <w:lang w:eastAsia="fr-FR"/>
          </w:rPr>
          <w:tab/>
        </w:r>
        <w:r w:rsidRPr="00CA5F5A">
          <w:rPr>
            <w:rStyle w:val="Lienhypertexte"/>
            <w:noProof/>
          </w:rPr>
          <w:t>Conditions d’admissibilité</w:t>
        </w:r>
      </w:hyperlink>
    </w:p>
    <w:p w14:paraId="01EE322C"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00" w:history="1">
        <w:r w:rsidRPr="00CA5F5A">
          <w:rPr>
            <w:rStyle w:val="Lienhypertexte"/>
            <w:noProof/>
          </w:rPr>
          <w:t>3.1.</w:t>
        </w:r>
        <w:r>
          <w:rPr>
            <w:rFonts w:asciiTheme="minorHAnsi" w:eastAsiaTheme="minorEastAsia" w:hAnsiTheme="minorHAnsi"/>
            <w:noProof/>
            <w:szCs w:val="24"/>
            <w:lang w:eastAsia="fr-FR"/>
          </w:rPr>
          <w:tab/>
        </w:r>
        <w:r w:rsidRPr="00CA5F5A">
          <w:rPr>
            <w:rStyle w:val="Lienhypertexte"/>
            <w:noProof/>
          </w:rPr>
          <w:t>Conditions de base</w:t>
        </w:r>
      </w:hyperlink>
    </w:p>
    <w:p w14:paraId="2A076F65"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01" w:history="1">
        <w:r w:rsidRPr="00CA5F5A">
          <w:rPr>
            <w:rStyle w:val="Lienhypertexte"/>
            <w:noProof/>
          </w:rPr>
          <w:t>3.2.</w:t>
        </w:r>
        <w:r>
          <w:rPr>
            <w:rFonts w:asciiTheme="minorHAnsi" w:eastAsiaTheme="minorEastAsia" w:hAnsiTheme="minorHAnsi"/>
            <w:noProof/>
            <w:szCs w:val="24"/>
            <w:lang w:eastAsia="fr-FR"/>
          </w:rPr>
          <w:tab/>
        </w:r>
        <w:r w:rsidRPr="00CA5F5A">
          <w:rPr>
            <w:rStyle w:val="Lienhypertexte"/>
            <w:noProof/>
          </w:rPr>
          <w:t>Période d’admissibilité</w:t>
        </w:r>
      </w:hyperlink>
    </w:p>
    <w:p w14:paraId="7A492C03"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02" w:history="1">
        <w:r w:rsidRPr="00CA5F5A">
          <w:rPr>
            <w:rStyle w:val="Lienhypertexte"/>
            <w:noProof/>
          </w:rPr>
          <w:t>3.3.</w:t>
        </w:r>
        <w:r>
          <w:rPr>
            <w:rFonts w:asciiTheme="minorHAnsi" w:eastAsiaTheme="minorEastAsia" w:hAnsiTheme="minorHAnsi"/>
            <w:noProof/>
            <w:szCs w:val="24"/>
            <w:lang w:eastAsia="fr-FR"/>
          </w:rPr>
          <w:tab/>
        </w:r>
        <w:r w:rsidRPr="00CA5F5A">
          <w:rPr>
            <w:rStyle w:val="Lienhypertexte"/>
            <w:noProof/>
          </w:rPr>
          <w:t>Restrictions</w:t>
        </w:r>
      </w:hyperlink>
    </w:p>
    <w:p w14:paraId="642A7A61"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03" w:history="1">
        <w:r w:rsidRPr="00CA5F5A">
          <w:rPr>
            <w:rStyle w:val="Lienhypertexte"/>
            <w:noProof/>
          </w:rPr>
          <w:t>3.4.</w:t>
        </w:r>
        <w:r>
          <w:rPr>
            <w:rFonts w:asciiTheme="minorHAnsi" w:eastAsiaTheme="minorEastAsia" w:hAnsiTheme="minorHAnsi"/>
            <w:noProof/>
            <w:szCs w:val="24"/>
            <w:lang w:eastAsia="fr-FR"/>
          </w:rPr>
          <w:tab/>
        </w:r>
        <w:r w:rsidRPr="00CA5F5A">
          <w:rPr>
            <w:rStyle w:val="Lienhypertexte"/>
            <w:noProof/>
          </w:rPr>
          <w:t>Conditions pour l’utilisation de la bourse à l’extérieur du Québec</w:t>
        </w:r>
      </w:hyperlink>
    </w:p>
    <w:p w14:paraId="4CA5CEDA"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04" w:history="1">
        <w:r w:rsidRPr="00CA5F5A">
          <w:rPr>
            <w:rStyle w:val="Lienhypertexte"/>
            <w:noProof/>
          </w:rPr>
          <w:t>3.5.</w:t>
        </w:r>
        <w:r>
          <w:rPr>
            <w:rFonts w:asciiTheme="minorHAnsi" w:eastAsiaTheme="minorEastAsia" w:hAnsiTheme="minorHAnsi"/>
            <w:noProof/>
            <w:szCs w:val="24"/>
            <w:lang w:eastAsia="fr-FR"/>
          </w:rPr>
          <w:tab/>
        </w:r>
        <w:r w:rsidRPr="00CA5F5A">
          <w:rPr>
            <w:rStyle w:val="Lienhypertexte"/>
            <w:noProof/>
          </w:rPr>
          <w:t>Choix du ou des milieux d’accueil</w:t>
        </w:r>
      </w:hyperlink>
    </w:p>
    <w:p w14:paraId="0FFD6574"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05" w:history="1">
        <w:r w:rsidRPr="00CA5F5A">
          <w:rPr>
            <w:rStyle w:val="Lienhypertexte"/>
            <w:noProof/>
          </w:rPr>
          <w:t>3.6.</w:t>
        </w:r>
        <w:r>
          <w:rPr>
            <w:rFonts w:asciiTheme="minorHAnsi" w:eastAsiaTheme="minorEastAsia" w:hAnsiTheme="minorHAnsi"/>
            <w:noProof/>
            <w:szCs w:val="24"/>
            <w:lang w:eastAsia="fr-FR"/>
          </w:rPr>
          <w:tab/>
        </w:r>
        <w:r w:rsidRPr="00CA5F5A">
          <w:rPr>
            <w:rStyle w:val="Lienhypertexte"/>
            <w:noProof/>
          </w:rPr>
          <w:t>Supervision et cosupervision</w:t>
        </w:r>
      </w:hyperlink>
    </w:p>
    <w:p w14:paraId="0729C7F8" w14:textId="77777777" w:rsidR="001C3088" w:rsidRDefault="001C3088">
      <w:pPr>
        <w:pStyle w:val="TM2"/>
        <w:tabs>
          <w:tab w:val="left" w:pos="720"/>
          <w:tab w:val="right" w:leader="dot" w:pos="9062"/>
        </w:tabs>
        <w:rPr>
          <w:rFonts w:asciiTheme="minorHAnsi" w:eastAsiaTheme="minorEastAsia" w:hAnsiTheme="minorHAnsi"/>
          <w:noProof/>
          <w:szCs w:val="24"/>
          <w:lang w:eastAsia="fr-FR"/>
        </w:rPr>
      </w:pPr>
      <w:hyperlink w:anchor="_Toc233714306" w:history="1">
        <w:r w:rsidRPr="00CA5F5A">
          <w:rPr>
            <w:rStyle w:val="Lienhypertexte"/>
            <w:noProof/>
          </w:rPr>
          <w:t>4.</w:t>
        </w:r>
        <w:r>
          <w:rPr>
            <w:rFonts w:asciiTheme="minorHAnsi" w:eastAsiaTheme="minorEastAsia" w:hAnsiTheme="minorHAnsi"/>
            <w:noProof/>
            <w:szCs w:val="24"/>
            <w:lang w:eastAsia="fr-FR"/>
          </w:rPr>
          <w:tab/>
        </w:r>
        <w:r w:rsidRPr="00CA5F5A">
          <w:rPr>
            <w:rStyle w:val="Lienhypertexte"/>
            <w:noProof/>
          </w:rPr>
          <w:t>Demande</w:t>
        </w:r>
      </w:hyperlink>
    </w:p>
    <w:p w14:paraId="68E92ABE"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07" w:history="1">
        <w:r w:rsidRPr="00CA5F5A">
          <w:rPr>
            <w:rStyle w:val="Lienhypertexte"/>
            <w:noProof/>
          </w:rPr>
          <w:t>4.1.</w:t>
        </w:r>
        <w:r>
          <w:rPr>
            <w:rFonts w:asciiTheme="minorHAnsi" w:eastAsiaTheme="minorEastAsia" w:hAnsiTheme="minorHAnsi"/>
            <w:noProof/>
            <w:szCs w:val="24"/>
            <w:lang w:eastAsia="fr-FR"/>
          </w:rPr>
          <w:tab/>
        </w:r>
        <w:r w:rsidRPr="00CA5F5A">
          <w:rPr>
            <w:rStyle w:val="Lienhypertexte"/>
            <w:noProof/>
          </w:rPr>
          <w:t>Choix du secteur et du comité d’évaluation</w:t>
        </w:r>
      </w:hyperlink>
    </w:p>
    <w:p w14:paraId="541996F6"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08" w:history="1">
        <w:r w:rsidRPr="00CA5F5A">
          <w:rPr>
            <w:rStyle w:val="Lienhypertexte"/>
            <w:noProof/>
          </w:rPr>
          <w:t>4.2.</w:t>
        </w:r>
        <w:r>
          <w:rPr>
            <w:rFonts w:asciiTheme="minorHAnsi" w:eastAsiaTheme="minorEastAsia" w:hAnsiTheme="minorHAnsi"/>
            <w:noProof/>
            <w:szCs w:val="24"/>
            <w:lang w:eastAsia="fr-FR"/>
          </w:rPr>
          <w:tab/>
        </w:r>
        <w:r w:rsidRPr="00CA5F5A">
          <w:rPr>
            <w:rStyle w:val="Lienhypertexte"/>
            <w:noProof/>
          </w:rPr>
          <w:t>Documents requis de la personne candidate</w:t>
        </w:r>
      </w:hyperlink>
    </w:p>
    <w:p w14:paraId="74C13055"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09" w:history="1">
        <w:r w:rsidRPr="00CA5F5A">
          <w:rPr>
            <w:rStyle w:val="Lienhypertexte"/>
            <w:noProof/>
          </w:rPr>
          <w:t>4.3.</w:t>
        </w:r>
        <w:r>
          <w:rPr>
            <w:rFonts w:asciiTheme="minorHAnsi" w:eastAsiaTheme="minorEastAsia" w:hAnsiTheme="minorHAnsi"/>
            <w:noProof/>
            <w:szCs w:val="24"/>
            <w:lang w:eastAsia="fr-FR"/>
          </w:rPr>
          <w:tab/>
        </w:r>
        <w:r w:rsidRPr="00CA5F5A">
          <w:rPr>
            <w:rStyle w:val="Lienhypertexte"/>
            <w:noProof/>
          </w:rPr>
          <w:t>Documents requis de la (co)superviseure ou du (co)superviseur</w:t>
        </w:r>
      </w:hyperlink>
    </w:p>
    <w:p w14:paraId="32682C55"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10" w:history="1">
        <w:r w:rsidRPr="00CA5F5A">
          <w:rPr>
            <w:rStyle w:val="Lienhypertexte"/>
            <w:noProof/>
          </w:rPr>
          <w:t>4.4.</w:t>
        </w:r>
        <w:r>
          <w:rPr>
            <w:rFonts w:asciiTheme="minorHAnsi" w:eastAsiaTheme="minorEastAsia" w:hAnsiTheme="minorHAnsi"/>
            <w:noProof/>
            <w:szCs w:val="24"/>
            <w:lang w:eastAsia="fr-FR"/>
          </w:rPr>
          <w:tab/>
        </w:r>
        <w:r w:rsidRPr="00CA5F5A">
          <w:rPr>
            <w:rStyle w:val="Lienhypertexte"/>
            <w:noProof/>
          </w:rPr>
          <w:t>Avis d’admissibilité</w:t>
        </w:r>
      </w:hyperlink>
    </w:p>
    <w:p w14:paraId="617991AB" w14:textId="77777777" w:rsidR="001C3088" w:rsidRDefault="001C3088">
      <w:pPr>
        <w:pStyle w:val="TM2"/>
        <w:tabs>
          <w:tab w:val="left" w:pos="720"/>
          <w:tab w:val="right" w:leader="dot" w:pos="9062"/>
        </w:tabs>
        <w:rPr>
          <w:rFonts w:asciiTheme="minorHAnsi" w:eastAsiaTheme="minorEastAsia" w:hAnsiTheme="minorHAnsi"/>
          <w:noProof/>
          <w:szCs w:val="24"/>
          <w:lang w:eastAsia="fr-FR"/>
        </w:rPr>
      </w:pPr>
      <w:hyperlink w:anchor="_Toc233714311" w:history="1">
        <w:r w:rsidRPr="00CA5F5A">
          <w:rPr>
            <w:rStyle w:val="Lienhypertexte"/>
            <w:noProof/>
          </w:rPr>
          <w:t>5.</w:t>
        </w:r>
        <w:r>
          <w:rPr>
            <w:rFonts w:asciiTheme="minorHAnsi" w:eastAsiaTheme="minorEastAsia" w:hAnsiTheme="minorHAnsi"/>
            <w:noProof/>
            <w:szCs w:val="24"/>
            <w:lang w:eastAsia="fr-FR"/>
          </w:rPr>
          <w:tab/>
        </w:r>
        <w:r w:rsidRPr="00CA5F5A">
          <w:rPr>
            <w:rStyle w:val="Lienhypertexte"/>
            <w:noProof/>
          </w:rPr>
          <w:t>Évaluation</w:t>
        </w:r>
      </w:hyperlink>
    </w:p>
    <w:p w14:paraId="0FD63054" w14:textId="77777777" w:rsidR="001C3088" w:rsidRDefault="001C3088">
      <w:pPr>
        <w:pStyle w:val="TM2"/>
        <w:tabs>
          <w:tab w:val="left" w:pos="720"/>
          <w:tab w:val="right" w:leader="dot" w:pos="9062"/>
        </w:tabs>
        <w:rPr>
          <w:rFonts w:asciiTheme="minorHAnsi" w:eastAsiaTheme="minorEastAsia" w:hAnsiTheme="minorHAnsi"/>
          <w:noProof/>
          <w:szCs w:val="24"/>
          <w:lang w:eastAsia="fr-FR"/>
        </w:rPr>
      </w:pPr>
      <w:hyperlink w:anchor="_Toc233714312" w:history="1">
        <w:r w:rsidRPr="00CA5F5A">
          <w:rPr>
            <w:rStyle w:val="Lienhypertexte"/>
            <w:noProof/>
          </w:rPr>
          <w:t>6.</w:t>
        </w:r>
        <w:r>
          <w:rPr>
            <w:rFonts w:asciiTheme="minorHAnsi" w:eastAsiaTheme="minorEastAsia" w:hAnsiTheme="minorHAnsi"/>
            <w:noProof/>
            <w:szCs w:val="24"/>
            <w:lang w:eastAsia="fr-FR"/>
          </w:rPr>
          <w:tab/>
        </w:r>
        <w:r w:rsidRPr="00CA5F5A">
          <w:rPr>
            <w:rStyle w:val="Lienhypertexte"/>
            <w:noProof/>
          </w:rPr>
          <w:t>Partenariats</w:t>
        </w:r>
      </w:hyperlink>
    </w:p>
    <w:p w14:paraId="2708CCE0"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13" w:history="1">
        <w:r w:rsidRPr="00CA5F5A">
          <w:rPr>
            <w:rStyle w:val="Lienhypertexte"/>
            <w:noProof/>
          </w:rPr>
          <w:t>6.1.</w:t>
        </w:r>
        <w:r>
          <w:rPr>
            <w:rFonts w:asciiTheme="minorHAnsi" w:eastAsiaTheme="minorEastAsia" w:hAnsiTheme="minorHAnsi"/>
            <w:noProof/>
            <w:szCs w:val="24"/>
            <w:lang w:eastAsia="fr-FR"/>
          </w:rPr>
          <w:tab/>
        </w:r>
        <w:r w:rsidRPr="00CA5F5A">
          <w:rPr>
            <w:rStyle w:val="Lienhypertexte"/>
            <w:noProof/>
          </w:rPr>
          <w:t>Partenaires du secteur Nature et technologies</w:t>
        </w:r>
      </w:hyperlink>
    </w:p>
    <w:p w14:paraId="17A8765C"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14" w:history="1">
        <w:r w:rsidRPr="00CA5F5A">
          <w:rPr>
            <w:rStyle w:val="Lienhypertexte"/>
            <w:noProof/>
          </w:rPr>
          <w:t>6.2.</w:t>
        </w:r>
        <w:r>
          <w:rPr>
            <w:rFonts w:asciiTheme="minorHAnsi" w:eastAsiaTheme="minorEastAsia" w:hAnsiTheme="minorHAnsi"/>
            <w:noProof/>
            <w:szCs w:val="24"/>
            <w:lang w:eastAsia="fr-FR"/>
          </w:rPr>
          <w:tab/>
        </w:r>
        <w:r w:rsidRPr="00CA5F5A">
          <w:rPr>
            <w:rStyle w:val="Lienhypertexte"/>
            <w:noProof/>
          </w:rPr>
          <w:t>Partenaires du secteur Santé</w:t>
        </w:r>
      </w:hyperlink>
    </w:p>
    <w:p w14:paraId="34D157C0" w14:textId="77777777" w:rsidR="001C3088" w:rsidRDefault="001C3088">
      <w:pPr>
        <w:pStyle w:val="TM3"/>
        <w:tabs>
          <w:tab w:val="left" w:pos="1200"/>
          <w:tab w:val="right" w:leader="dot" w:pos="9062"/>
        </w:tabs>
        <w:rPr>
          <w:rFonts w:asciiTheme="minorHAnsi" w:eastAsiaTheme="minorEastAsia" w:hAnsiTheme="minorHAnsi"/>
          <w:noProof/>
          <w:szCs w:val="24"/>
          <w:lang w:eastAsia="fr-FR"/>
        </w:rPr>
      </w:pPr>
      <w:hyperlink w:anchor="_Toc233714315" w:history="1">
        <w:r w:rsidRPr="00CA5F5A">
          <w:rPr>
            <w:rStyle w:val="Lienhypertexte"/>
            <w:noProof/>
          </w:rPr>
          <w:t>6.3.</w:t>
        </w:r>
        <w:r>
          <w:rPr>
            <w:rFonts w:asciiTheme="minorHAnsi" w:eastAsiaTheme="minorEastAsia" w:hAnsiTheme="minorHAnsi"/>
            <w:noProof/>
            <w:szCs w:val="24"/>
            <w:lang w:eastAsia="fr-FR"/>
          </w:rPr>
          <w:tab/>
        </w:r>
        <w:r w:rsidRPr="00CA5F5A">
          <w:rPr>
            <w:rStyle w:val="Lienhypertexte"/>
            <w:noProof/>
          </w:rPr>
          <w:t>Partenaires du secteur Société et culture</w:t>
        </w:r>
      </w:hyperlink>
    </w:p>
    <w:p w14:paraId="5E2040A8" w14:textId="77777777" w:rsidR="001C3088" w:rsidRDefault="001C3088">
      <w:pPr>
        <w:pStyle w:val="TM2"/>
        <w:tabs>
          <w:tab w:val="left" w:pos="720"/>
          <w:tab w:val="right" w:leader="dot" w:pos="9062"/>
        </w:tabs>
        <w:rPr>
          <w:rFonts w:asciiTheme="minorHAnsi" w:eastAsiaTheme="minorEastAsia" w:hAnsiTheme="minorHAnsi"/>
          <w:noProof/>
          <w:szCs w:val="24"/>
          <w:lang w:eastAsia="fr-FR"/>
        </w:rPr>
      </w:pPr>
      <w:hyperlink w:anchor="_Toc233714316" w:history="1">
        <w:r w:rsidRPr="00CA5F5A">
          <w:rPr>
            <w:rStyle w:val="Lienhypertexte"/>
            <w:noProof/>
          </w:rPr>
          <w:t>7.</w:t>
        </w:r>
        <w:r>
          <w:rPr>
            <w:rFonts w:asciiTheme="minorHAnsi" w:eastAsiaTheme="minorEastAsia" w:hAnsiTheme="minorHAnsi"/>
            <w:noProof/>
            <w:szCs w:val="24"/>
            <w:lang w:eastAsia="fr-FR"/>
          </w:rPr>
          <w:tab/>
        </w:r>
        <w:r w:rsidRPr="00CA5F5A">
          <w:rPr>
            <w:rStyle w:val="Lienhypertexte"/>
            <w:noProof/>
          </w:rPr>
          <w:t>Annonce des résultats</w:t>
        </w:r>
      </w:hyperlink>
    </w:p>
    <w:p w14:paraId="165D5A0E" w14:textId="77777777" w:rsidR="001C3088" w:rsidRDefault="001C3088">
      <w:pPr>
        <w:pStyle w:val="TM2"/>
        <w:tabs>
          <w:tab w:val="left" w:pos="720"/>
          <w:tab w:val="right" w:leader="dot" w:pos="9062"/>
        </w:tabs>
        <w:rPr>
          <w:rFonts w:asciiTheme="minorHAnsi" w:eastAsiaTheme="minorEastAsia" w:hAnsiTheme="minorHAnsi"/>
          <w:noProof/>
          <w:szCs w:val="24"/>
          <w:lang w:eastAsia="fr-FR"/>
        </w:rPr>
      </w:pPr>
      <w:hyperlink w:anchor="_Toc233714317" w:history="1">
        <w:r w:rsidRPr="00CA5F5A">
          <w:rPr>
            <w:rStyle w:val="Lienhypertexte"/>
            <w:noProof/>
          </w:rPr>
          <w:t>8.</w:t>
        </w:r>
        <w:r>
          <w:rPr>
            <w:rFonts w:asciiTheme="minorHAnsi" w:eastAsiaTheme="minorEastAsia" w:hAnsiTheme="minorHAnsi"/>
            <w:noProof/>
            <w:szCs w:val="24"/>
            <w:lang w:eastAsia="fr-FR"/>
          </w:rPr>
          <w:tab/>
        </w:r>
        <w:r w:rsidRPr="00CA5F5A">
          <w:rPr>
            <w:rStyle w:val="Lienhypertexte"/>
            <w:noProof/>
          </w:rPr>
          <w:t>Prise d’effet de la bourse</w:t>
        </w:r>
      </w:hyperlink>
    </w:p>
    <w:p w14:paraId="16548994" w14:textId="77777777" w:rsidR="001C3088" w:rsidRDefault="001C3088">
      <w:pPr>
        <w:pStyle w:val="TM2"/>
        <w:tabs>
          <w:tab w:val="left" w:pos="720"/>
          <w:tab w:val="right" w:leader="dot" w:pos="9062"/>
        </w:tabs>
        <w:rPr>
          <w:rFonts w:asciiTheme="minorHAnsi" w:eastAsiaTheme="minorEastAsia" w:hAnsiTheme="minorHAnsi"/>
          <w:noProof/>
          <w:szCs w:val="24"/>
          <w:lang w:eastAsia="fr-FR"/>
        </w:rPr>
      </w:pPr>
      <w:hyperlink w:anchor="_Toc233714318" w:history="1">
        <w:r w:rsidRPr="00CA5F5A">
          <w:rPr>
            <w:rStyle w:val="Lienhypertexte"/>
            <w:noProof/>
          </w:rPr>
          <w:t>9.</w:t>
        </w:r>
        <w:r>
          <w:rPr>
            <w:rFonts w:asciiTheme="minorHAnsi" w:eastAsiaTheme="minorEastAsia" w:hAnsiTheme="minorHAnsi"/>
            <w:noProof/>
            <w:szCs w:val="24"/>
            <w:lang w:eastAsia="fr-FR"/>
          </w:rPr>
          <w:tab/>
        </w:r>
        <w:r w:rsidRPr="00CA5F5A">
          <w:rPr>
            <w:rStyle w:val="Lienhypertexte"/>
            <w:noProof/>
          </w:rPr>
          <w:t>Règles d’utilisation de la bourse</w:t>
        </w:r>
      </w:hyperlink>
    </w:p>
    <w:p w14:paraId="4EB303F1" w14:textId="2AE8AB3C" w:rsidR="00676937" w:rsidRPr="005612EA" w:rsidRDefault="00676937" w:rsidP="00021B18">
      <w:r w:rsidRPr="00021B18">
        <w:rPr>
          <w:rFonts w:cs="Arial"/>
          <w:szCs w:val="24"/>
        </w:rPr>
        <w:lastRenderedPageBreak/>
        <w:fldChar w:fldCharType="end"/>
      </w:r>
      <w:r>
        <w:t>{Page 1}</w:t>
      </w:r>
    </w:p>
    <w:p w14:paraId="6EF4CB09" w14:textId="4B9378BE" w:rsidR="00892240" w:rsidRPr="00AA5461" w:rsidRDefault="00892240" w:rsidP="00AA5461">
      <w:pPr>
        <w:pStyle w:val="Titre1"/>
      </w:pPr>
      <w:bookmarkStart w:id="8" w:name="_Toc233714287"/>
      <w:r w:rsidRPr="00AA5461">
        <w:t xml:space="preserve">Bourses postdoctorales </w:t>
      </w:r>
      <w:r w:rsidR="000723FC" w:rsidRPr="00AA5461">
        <w:t>2027</w:t>
      </w:r>
      <w:r w:rsidRPr="00AA5461">
        <w:t>-</w:t>
      </w:r>
      <w:r w:rsidR="000723FC" w:rsidRPr="00AA5461">
        <w:t xml:space="preserve">2028 </w:t>
      </w:r>
      <w:r w:rsidRPr="00AA5461">
        <w:t>(B3)</w:t>
      </w:r>
      <w:bookmarkEnd w:id="8"/>
    </w:p>
    <w:p w14:paraId="0EFF6FB0" w14:textId="77777777" w:rsidR="002D69AC" w:rsidRPr="002D69AC" w:rsidRDefault="002D69AC" w:rsidP="002D69AC">
      <w:pPr>
        <w:spacing w:before="0" w:after="0" w:line="276" w:lineRule="auto"/>
        <w:rPr>
          <w:rFonts w:cs="Arial"/>
        </w:rPr>
      </w:pPr>
      <w:r w:rsidRPr="002D69AC">
        <w:rPr>
          <w:rFonts w:cs="Arial"/>
          <w:b/>
          <w:bCs/>
        </w:rPr>
        <w:t>Date de lancement du concours:</w:t>
      </w:r>
      <w:r w:rsidRPr="002D69AC">
        <w:rPr>
          <w:rFonts w:cs="Arial"/>
        </w:rPr>
        <w:t xml:space="preserve"> Juillet 2026</w:t>
      </w:r>
    </w:p>
    <w:p w14:paraId="786C5B19" w14:textId="1B65E581" w:rsidR="002D69AC" w:rsidRPr="002D69AC" w:rsidRDefault="002D69AC" w:rsidP="002D69AC">
      <w:pPr>
        <w:rPr>
          <w:rFonts w:cs="Arial"/>
        </w:rPr>
      </w:pPr>
      <w:r w:rsidRPr="002D69AC">
        <w:rPr>
          <w:rFonts w:cs="Arial"/>
          <w:b/>
        </w:rPr>
        <w:t xml:space="preserve">Date limite (demande): </w:t>
      </w:r>
      <w:r w:rsidR="004B27BE">
        <w:rPr>
          <w:rFonts w:cs="Arial"/>
        </w:rPr>
        <w:t>8 octobre</w:t>
      </w:r>
      <w:r w:rsidRPr="002D69AC">
        <w:rPr>
          <w:rFonts w:cs="Arial"/>
        </w:rPr>
        <w:t xml:space="preserve"> 2026, 16h00 (EST)</w:t>
      </w:r>
      <w:r w:rsidRPr="002D69AC">
        <w:rPr>
          <w:rFonts w:cs="Arial"/>
          <w:b/>
        </w:rPr>
        <w:t xml:space="preserve"> </w:t>
      </w:r>
    </w:p>
    <w:p w14:paraId="6FEFB5B5" w14:textId="77777777" w:rsidR="002D69AC" w:rsidRPr="002D69AC" w:rsidRDefault="002D69AC" w:rsidP="002D69AC">
      <w:pPr>
        <w:rPr>
          <w:rFonts w:cs="Arial"/>
        </w:rPr>
      </w:pPr>
      <w:r w:rsidRPr="002D69AC">
        <w:rPr>
          <w:rFonts w:cs="Arial"/>
          <w:b/>
          <w:bCs/>
        </w:rPr>
        <w:t>Annonce des résultats:</w:t>
      </w:r>
      <w:r w:rsidRPr="002D69AC">
        <w:rPr>
          <w:rFonts w:cs="Arial"/>
        </w:rPr>
        <w:t xml:space="preserve"> Fin avril 2027</w:t>
      </w:r>
    </w:p>
    <w:p w14:paraId="5A1AC2AF" w14:textId="77777777" w:rsidR="002D69AC" w:rsidRPr="002D69AC" w:rsidRDefault="002D69AC" w:rsidP="002D69AC">
      <w:pPr>
        <w:rPr>
          <w:rFonts w:cs="Arial"/>
          <w:b/>
          <w:bCs/>
        </w:rPr>
      </w:pPr>
      <w:r w:rsidRPr="002D69AC">
        <w:rPr>
          <w:rFonts w:cs="Arial"/>
          <w:b/>
          <w:bCs/>
        </w:rPr>
        <w:t xml:space="preserve">Année de début d’octroi: </w:t>
      </w:r>
      <w:r w:rsidRPr="002D69AC">
        <w:rPr>
          <w:rFonts w:cs="Arial"/>
        </w:rPr>
        <w:t>2027-2028</w:t>
      </w:r>
    </w:p>
    <w:p w14:paraId="4FAB9CFF" w14:textId="2C6A579F" w:rsidR="002D69AC" w:rsidRPr="002D69AC" w:rsidRDefault="002D69AC" w:rsidP="002D69AC">
      <w:pPr>
        <w:rPr>
          <w:rFonts w:cs="Arial"/>
          <w:b/>
          <w:bCs/>
        </w:rPr>
      </w:pPr>
      <w:r w:rsidRPr="002D69AC">
        <w:rPr>
          <w:rFonts w:cs="Arial"/>
          <w:b/>
          <w:bCs/>
        </w:rPr>
        <w:t>Montant:</w:t>
      </w:r>
      <w:r w:rsidRPr="002D69AC">
        <w:rPr>
          <w:rFonts w:cs="Arial"/>
        </w:rPr>
        <w:t xml:space="preserve"> </w:t>
      </w:r>
      <w:r w:rsidR="004B27BE">
        <w:rPr>
          <w:rFonts w:cs="Arial"/>
        </w:rPr>
        <w:t>4</w:t>
      </w:r>
      <w:r w:rsidRPr="002D69AC">
        <w:rPr>
          <w:rFonts w:cs="Arial"/>
        </w:rPr>
        <w:t>5 000 $ par année</w:t>
      </w:r>
    </w:p>
    <w:p w14:paraId="05B2D249" w14:textId="738CB591" w:rsidR="002D69AC" w:rsidRPr="002D69AC" w:rsidRDefault="002D69AC" w:rsidP="002D69AC">
      <w:pPr>
        <w:rPr>
          <w:rFonts w:cs="Arial"/>
        </w:rPr>
      </w:pPr>
      <w:r w:rsidRPr="002D69AC">
        <w:rPr>
          <w:rFonts w:cs="Arial"/>
          <w:b/>
          <w:bCs/>
        </w:rPr>
        <w:t xml:space="preserve">Durée du financement: </w:t>
      </w:r>
      <w:r w:rsidRPr="002D69AC">
        <w:rPr>
          <w:rFonts w:cs="Arial"/>
        </w:rPr>
        <w:t xml:space="preserve">Maximum </w:t>
      </w:r>
      <w:r w:rsidR="004B27BE">
        <w:rPr>
          <w:rFonts w:cs="Arial"/>
        </w:rPr>
        <w:t>2 ans</w:t>
      </w:r>
    </w:p>
    <w:p w14:paraId="6A62E9ED" w14:textId="77777777" w:rsidR="009B056B" w:rsidRPr="001E212A" w:rsidRDefault="009B056B" w:rsidP="00F9389E">
      <w:pPr>
        <w:pStyle w:val="Titre2"/>
        <w:numPr>
          <w:ilvl w:val="0"/>
          <w:numId w:val="0"/>
        </w:numPr>
        <w:ind w:left="360" w:hanging="360"/>
      </w:pPr>
      <w:bookmarkStart w:id="9" w:name="_Toc233714288"/>
      <w:r w:rsidRPr="001E212A">
        <w:t>Rappels importants</w:t>
      </w:r>
      <w:bookmarkEnd w:id="9"/>
    </w:p>
    <w:p w14:paraId="6FB52A59" w14:textId="08534EFA" w:rsidR="009B056B" w:rsidRPr="009176DD" w:rsidRDefault="009B056B" w:rsidP="009176DD">
      <w:pPr>
        <w:rPr>
          <w:rStyle w:val="normaltextrun"/>
          <w:rFonts w:cs="Arial"/>
          <w:szCs w:val="24"/>
        </w:rPr>
      </w:pPr>
      <w:r w:rsidRPr="009176DD">
        <w:rPr>
          <w:rStyle w:val="normaltextrun"/>
          <w:rFonts w:eastAsiaTheme="majorEastAsia" w:cs="Arial"/>
          <w:b/>
          <w:bCs/>
          <w:szCs w:val="24"/>
        </w:rPr>
        <w:t xml:space="preserve">Il est de la responsabilité de la personne candidate de prendre connaissance des règles du présent programme et des </w:t>
      </w:r>
      <w:hyperlink r:id="rId11" w:tgtFrame="_blank" w:history="1">
        <w:r w:rsidRPr="009176DD">
          <w:rPr>
            <w:rStyle w:val="normaltextrun"/>
            <w:rFonts w:eastAsiaTheme="majorEastAsia" w:cs="Arial"/>
            <w:b/>
            <w:bCs/>
            <w:color w:val="0563C1"/>
            <w:szCs w:val="24"/>
            <w:u w:val="single"/>
          </w:rPr>
          <w:t>règles générales communes</w:t>
        </w:r>
      </w:hyperlink>
      <w:r w:rsidRPr="009176DD">
        <w:rPr>
          <w:rStyle w:val="normaltextrun"/>
          <w:rFonts w:eastAsiaTheme="majorEastAsia" w:cs="Arial"/>
          <w:b/>
          <w:bCs/>
          <w:szCs w:val="24"/>
        </w:rPr>
        <w:t xml:space="preserve"> (RGC) du Fonds de recherche du Québec (FRQ)</w:t>
      </w:r>
      <w:r w:rsidRPr="009176DD">
        <w:rPr>
          <w:rStyle w:val="normaltextrun"/>
          <w:rFonts w:eastAsiaTheme="majorEastAsia" w:cs="Arial"/>
          <w:szCs w:val="24"/>
        </w:rPr>
        <w:t>. Les règles du programme apportent des précisions et des informations additionnelles aux RGC. En cas de divergence avec les RGC, les règles du programme prévalent. </w:t>
      </w:r>
    </w:p>
    <w:p w14:paraId="14267ED6" w14:textId="5967F994" w:rsidR="009B056B" w:rsidRPr="00021B18" w:rsidRDefault="009B056B" w:rsidP="009176DD">
      <w:r w:rsidRPr="009176DD">
        <w:rPr>
          <w:rStyle w:val="normaltextrun"/>
          <w:rFonts w:eastAsiaTheme="majorEastAsia" w:cs="Arial"/>
          <w:color w:val="000000" w:themeColor="text1"/>
          <w:szCs w:val="24"/>
        </w:rPr>
        <w:t>Une version sous format PDF et une version accessible d</w:t>
      </w:r>
      <w:r w:rsidRPr="009176DD">
        <w:rPr>
          <w:rStyle w:val="normaltextrun"/>
          <w:rFonts w:eastAsiaTheme="majorEastAsia" w:cs="Arial"/>
          <w:color w:val="000000"/>
          <w:szCs w:val="24"/>
          <w:shd w:val="clear" w:color="auto" w:fill="FFFFFF"/>
        </w:rPr>
        <w:t xml:space="preserve">es règles de ce programme </w:t>
      </w:r>
      <w:r w:rsidRPr="009176DD">
        <w:rPr>
          <w:rStyle w:val="normaltextrun"/>
          <w:rFonts w:eastAsiaTheme="majorEastAsia" w:cs="Arial"/>
          <w:color w:val="000000" w:themeColor="text1"/>
          <w:szCs w:val="24"/>
        </w:rPr>
        <w:t xml:space="preserve">sont </w:t>
      </w:r>
      <w:r w:rsidRPr="009176DD">
        <w:rPr>
          <w:rStyle w:val="normaltextrun"/>
          <w:rFonts w:eastAsiaTheme="majorEastAsia" w:cs="Arial"/>
          <w:color w:val="000000"/>
          <w:szCs w:val="24"/>
          <w:shd w:val="clear" w:color="auto" w:fill="FFFFFF"/>
        </w:rPr>
        <w:t>disponible</w:t>
      </w:r>
      <w:r w:rsidRPr="009176DD">
        <w:rPr>
          <w:rStyle w:val="normaltextrun"/>
          <w:rFonts w:eastAsiaTheme="majorEastAsia" w:cs="Arial"/>
          <w:color w:val="000000" w:themeColor="text1"/>
          <w:szCs w:val="24"/>
        </w:rPr>
        <w:t>s</w:t>
      </w:r>
      <w:r w:rsidRPr="009176DD">
        <w:rPr>
          <w:rStyle w:val="normaltextrun"/>
          <w:rFonts w:eastAsiaTheme="majorEastAsia" w:cs="Arial"/>
          <w:color w:val="000000"/>
          <w:szCs w:val="24"/>
          <w:shd w:val="clear" w:color="auto" w:fill="FFFFFF"/>
        </w:rPr>
        <w:t xml:space="preserve"> </w:t>
      </w:r>
      <w:r w:rsidRPr="009176DD">
        <w:rPr>
          <w:rStyle w:val="normaltextrun"/>
          <w:rFonts w:eastAsiaTheme="majorEastAsia" w:cs="Arial"/>
          <w:color w:val="000000" w:themeColor="text1"/>
          <w:szCs w:val="24"/>
        </w:rPr>
        <w:t>dans leur intégralité dans la boîte à outils</w:t>
      </w:r>
      <w:r w:rsidRPr="009176DD">
        <w:rPr>
          <w:rStyle w:val="eop"/>
          <w:rFonts w:cs="Arial"/>
          <w:szCs w:val="24"/>
        </w:rPr>
        <w:t>.</w:t>
      </w:r>
    </w:p>
    <w:p w14:paraId="23DC9DCD" w14:textId="431ACAD2" w:rsidR="009B056B" w:rsidRPr="00021B18" w:rsidRDefault="009B056B" w:rsidP="009176DD">
      <w:pPr>
        <w:rPr>
          <w:szCs w:val="24"/>
        </w:rPr>
      </w:pPr>
      <w:r w:rsidRPr="00021B18">
        <w:rPr>
          <w:szCs w:val="24"/>
        </w:rPr>
        <w:t xml:space="preserve">La demande de bourse postdoctorale doit être faite dans l’Espace demande du </w:t>
      </w:r>
      <w:hyperlink r:id="rId12" w:history="1">
        <w:r w:rsidRPr="00021B18">
          <w:rPr>
            <w:rStyle w:val="Lienhypertexte"/>
            <w:rFonts w:cs="Arial"/>
            <w:szCs w:val="24"/>
          </w:rPr>
          <w:t>portail FRQnet</w:t>
        </w:r>
      </w:hyperlink>
      <w:r w:rsidRPr="00021B18">
        <w:rPr>
          <w:szCs w:val="24"/>
        </w:rPr>
        <w:t xml:space="preserve">, l’interface transactionnelle utilisée par le FRQ pour la soumission des demandes de financement et la gestion des octrois. Pour déposer une demande, la personne candidate doit au préalable se créer un compte FRQnet. À la date et à l’heure limite du concours, soit le 8 octobre </w:t>
      </w:r>
      <w:r w:rsidR="004562CF" w:rsidRPr="00021B18">
        <w:rPr>
          <w:szCs w:val="24"/>
        </w:rPr>
        <w:t>202</w:t>
      </w:r>
      <w:r w:rsidR="004562CF">
        <w:rPr>
          <w:szCs w:val="24"/>
        </w:rPr>
        <w:t>6</w:t>
      </w:r>
      <w:r w:rsidR="004562CF" w:rsidRPr="00021B18">
        <w:rPr>
          <w:szCs w:val="24"/>
        </w:rPr>
        <w:t xml:space="preserve"> </w:t>
      </w:r>
      <w:r w:rsidRPr="00021B18">
        <w:rPr>
          <w:szCs w:val="24"/>
        </w:rPr>
        <w:t>à 16h00, le statut de la demande dans l’Espace demande du portail FRQnet doit être «</w:t>
      </w:r>
      <w:r w:rsidR="007E16BF" w:rsidRPr="007E16BF">
        <w:rPr>
          <w:b/>
          <w:bCs/>
          <w:szCs w:val="24"/>
        </w:rPr>
        <w:t xml:space="preserve">Transmis </w:t>
      </w:r>
      <w:r w:rsidRPr="00021B18">
        <w:rPr>
          <w:szCs w:val="24"/>
        </w:rPr>
        <w:t>au Fonds». Toute demande affichant un autre statut sera non recevable. Il est impossible de transmettre une demande, ou d’ajouter un document à la demande, après l’heure limite du concours.</w:t>
      </w:r>
    </w:p>
    <w:p w14:paraId="619E94F1" w14:textId="75E3A1FE" w:rsidR="009B056B" w:rsidRPr="002C4432" w:rsidRDefault="009B056B" w:rsidP="009176DD">
      <w:pPr>
        <w:rPr>
          <w:rStyle w:val="eop"/>
          <w:rFonts w:cs="Arial"/>
          <w:b/>
          <w:bCs/>
        </w:rPr>
      </w:pPr>
      <w:r w:rsidRPr="002C4432">
        <w:rPr>
          <w:rStyle w:val="eop"/>
          <w:rFonts w:cs="Arial"/>
          <w:b/>
          <w:bCs/>
        </w:rPr>
        <w:t>Des questions</w:t>
      </w:r>
      <w:r w:rsidR="002B624A" w:rsidRPr="002B624A">
        <w:rPr>
          <w:rFonts w:cs="Arial"/>
          <w:b/>
          <w:bCs/>
        </w:rPr>
        <w:t xml:space="preserve"> sur les règles du programme</w:t>
      </w:r>
      <w:r w:rsidRPr="002C4432">
        <w:rPr>
          <w:rStyle w:val="eop"/>
          <w:rFonts w:cs="Arial"/>
          <w:b/>
          <w:bCs/>
        </w:rPr>
        <w:t xml:space="preserve">? </w:t>
      </w:r>
    </w:p>
    <w:p w14:paraId="1BC4C8BB" w14:textId="4CA83E3E" w:rsidR="009B056B" w:rsidRPr="002C4432" w:rsidRDefault="009B056B" w:rsidP="009176DD">
      <w:pPr>
        <w:pStyle w:val="Paragraphedeliste"/>
        <w:numPr>
          <w:ilvl w:val="0"/>
          <w:numId w:val="28"/>
        </w:numPr>
      </w:pPr>
      <w:r w:rsidRPr="002C4432">
        <w:t>Secteur Nature et technologies</w:t>
      </w:r>
      <w:r w:rsidR="009D1EE2">
        <w:t>:</w:t>
      </w:r>
      <w:r w:rsidRPr="002C4432">
        <w:t xml:space="preserve"> </w:t>
      </w:r>
    </w:p>
    <w:p w14:paraId="675565FA" w14:textId="6D68B72C" w:rsidR="009B056B" w:rsidRPr="002C4432" w:rsidRDefault="009B056B" w:rsidP="009176DD">
      <w:pPr>
        <w:pStyle w:val="Paragraphedeliste"/>
        <w:numPr>
          <w:ilvl w:val="0"/>
          <w:numId w:val="28"/>
        </w:numPr>
      </w:pPr>
      <w:r w:rsidRPr="01847589">
        <w:lastRenderedPageBreak/>
        <w:t>Secteur Santé</w:t>
      </w:r>
      <w:r w:rsidR="009D1EE2">
        <w:t>:</w:t>
      </w:r>
      <w:r w:rsidRPr="01847589">
        <w:t xml:space="preserve"> </w:t>
      </w:r>
      <w:hyperlink r:id="rId13">
        <w:r w:rsidRPr="00021B18">
          <w:rPr>
            <w:rStyle w:val="Lienhypertexte"/>
            <w:rFonts w:cs="Arial"/>
          </w:rPr>
          <w:t>boursespdoc.sante@frq.gouv.qc.ca</w:t>
        </w:r>
      </w:hyperlink>
    </w:p>
    <w:p w14:paraId="36F48E8F" w14:textId="65480D57" w:rsidR="00DB7D2D" w:rsidRPr="00DB7D2D" w:rsidRDefault="009B056B" w:rsidP="00DB7D2D">
      <w:pPr>
        <w:pStyle w:val="Paragraphedeliste"/>
        <w:numPr>
          <w:ilvl w:val="0"/>
          <w:numId w:val="28"/>
        </w:numPr>
      </w:pPr>
      <w:r w:rsidRPr="002C4432">
        <w:t>Secteur Société et culture</w:t>
      </w:r>
      <w:r w:rsidR="009D1EE2">
        <w:t>:</w:t>
      </w:r>
      <w:r w:rsidRPr="002C4432">
        <w:t xml:space="preserve"> </w:t>
      </w:r>
      <w:hyperlink r:id="rId14">
        <w:r w:rsidRPr="00021B18">
          <w:rPr>
            <w:rStyle w:val="Lienhypertexte"/>
            <w:rFonts w:cs="Arial"/>
          </w:rPr>
          <w:t>bourspost.sc@frq.gouv.qc.ca</w:t>
        </w:r>
      </w:hyperlink>
    </w:p>
    <w:p w14:paraId="30813163" w14:textId="657F3350" w:rsidR="00DB7D2D" w:rsidRPr="00DB7D2D" w:rsidRDefault="00DB7D2D" w:rsidP="00F9389E">
      <w:r w:rsidRPr="00F9389E">
        <w:rPr>
          <w:b/>
          <w:bCs/>
          <w:lang w:val="fr-CA"/>
        </w:rPr>
        <w:t>Des questions techniques sur le formulaire de demande?</w:t>
      </w:r>
      <w:r w:rsidRPr="00DB7D2D">
        <w:t> </w:t>
      </w:r>
      <w:r w:rsidRPr="00F9389E">
        <w:rPr>
          <w:lang w:val="fr-CA"/>
        </w:rPr>
        <w:t>Centre d’assistance informatique FRQnet : </w:t>
      </w:r>
      <w:hyperlink r:id="rId15" w:tgtFrame="_blank" w:history="1">
        <w:r w:rsidRPr="00DB7D2D">
          <w:rPr>
            <w:rStyle w:val="Lienhypertexte"/>
            <w:lang w:val="fr-CA"/>
          </w:rPr>
          <w:t>centre.assistance@frq.gouv.qc.ca</w:t>
        </w:r>
      </w:hyperlink>
      <w:r w:rsidRPr="00DB7D2D">
        <w:t> </w:t>
      </w:r>
    </w:p>
    <w:p w14:paraId="7ADA7344" w14:textId="375923DB" w:rsidR="006D2C89" w:rsidRPr="005612EA" w:rsidRDefault="006D2C89" w:rsidP="006D2C89">
      <w:r>
        <w:t>{Page 2}</w:t>
      </w:r>
    </w:p>
    <w:p w14:paraId="2FD79B8D" w14:textId="157B4229" w:rsidR="00DB7D2D" w:rsidRPr="00F9389E" w:rsidRDefault="00DB7D2D" w:rsidP="00F9389E">
      <w:pPr>
        <w:rPr>
          <w:b/>
          <w:bCs/>
          <w:lang w:val="fr-CA"/>
        </w:rPr>
      </w:pPr>
      <w:r w:rsidRPr="00F9389E">
        <w:rPr>
          <w:b/>
          <w:bCs/>
          <w:lang w:val="fr-CA"/>
        </w:rPr>
        <w:t>Dans les semaines précédant la clôture du concours, le FRQ reçoit un volume très élevé de courriels et d’appels. Cette situation peut entraîner des délais plus longs qu’à l’habitude dans le traitement des demandes de soutien. Nos équipes mettent tout en œuvre pour traiter chaque demande avec attention. Merci de votre compréhension.</w:t>
      </w:r>
    </w:p>
    <w:p w14:paraId="7D773C45" w14:textId="0FA764B9" w:rsidR="00DB7D2D" w:rsidRPr="00DB7D2D" w:rsidRDefault="00DB7D2D" w:rsidP="00F9389E">
      <w:r w:rsidRPr="00DB7D2D">
        <w:t>Le FRQ est signataire de la </w:t>
      </w:r>
      <w:hyperlink r:id="rId16" w:tgtFrame="_blank" w:history="1">
        <w:r w:rsidRPr="00DB7D2D">
          <w:rPr>
            <w:rStyle w:val="Lienhypertexte"/>
          </w:rPr>
          <w:t>Déclaration de San Francisco sur l'évaluation de la recherche</w:t>
        </w:r>
      </w:hyperlink>
      <w:r w:rsidRPr="00DB7D2D">
        <w:t> (DORA) et de la </w:t>
      </w:r>
      <w:hyperlink r:id="rId17" w:tgtFrame="_blank" w:history="1">
        <w:r w:rsidRPr="00DB7D2D">
          <w:rPr>
            <w:rStyle w:val="Lienhypertexte"/>
          </w:rPr>
          <w:t>Coalition for Advancing Research Assessment</w:t>
        </w:r>
      </w:hyperlink>
      <w:r w:rsidRPr="00DB7D2D">
        <w:t> (CoARA). Cette double adhésion a marqué le point de départ d’un chantier stratégique: l'Évolution de l'évaluation de l'excellence en recherche (E3R).   </w:t>
      </w:r>
    </w:p>
    <w:p w14:paraId="62503147" w14:textId="77777777" w:rsidR="00DB7D2D" w:rsidRPr="00DB7D2D" w:rsidRDefault="00DB7D2D" w:rsidP="00F9389E">
      <w:r w:rsidRPr="00DB7D2D">
        <w:t>Par ce chantier, le FRQ promeut notamment une approche d'évaluation qualitative de la recherche appuyée par une utilisation responsable d'indicateurs quantitatifs afin de reconnaître la diversité des contributions de recherche, entre autres, la diversité des savoirs incluant les </w:t>
      </w:r>
      <w:hyperlink r:id="rId18" w:tgtFrame="_blank" w:history="1">
        <w:r w:rsidRPr="00DB7D2D">
          <w:rPr>
            <w:rStyle w:val="Lienhypertexte"/>
          </w:rPr>
          <w:t>savoirs autochtones</w:t>
        </w:r>
      </w:hyperlink>
      <w:r w:rsidRPr="00DB7D2D">
        <w:t>. En alignant ses orientations sur ces principes, le FRQ s'engage dans un processus progressif d’adaptation et de transformation des pratiques d'évaluation.</w:t>
      </w:r>
    </w:p>
    <w:p w14:paraId="3C23FA6B" w14:textId="77777777" w:rsidR="00A611EC" w:rsidRPr="00671EE6" w:rsidRDefault="00A611EC" w:rsidP="00F9389E">
      <w:pPr>
        <w:pStyle w:val="Titre2"/>
        <w:numPr>
          <w:ilvl w:val="0"/>
          <w:numId w:val="0"/>
        </w:numPr>
        <w:ind w:left="360" w:hanging="360"/>
      </w:pPr>
      <w:bookmarkStart w:id="10" w:name="_Toc233714289"/>
      <w:r w:rsidRPr="00671EE6">
        <w:rPr>
          <w:rStyle w:val="normaltextrun"/>
        </w:rPr>
        <w:t>Aperçu du processus d’évaluation des demandes</w:t>
      </w:r>
      <w:bookmarkEnd w:id="10"/>
      <w:r w:rsidRPr="00671EE6">
        <w:rPr>
          <w:rStyle w:val="eop"/>
        </w:rPr>
        <w:t> </w:t>
      </w:r>
    </w:p>
    <w:p w14:paraId="4B4AC173" w14:textId="77777777" w:rsidR="00A611EC" w:rsidRPr="00021B18" w:rsidRDefault="00A611EC" w:rsidP="009176DD">
      <w:pPr>
        <w:pStyle w:val="Paragraphedeliste"/>
        <w:numPr>
          <w:ilvl w:val="0"/>
          <w:numId w:val="29"/>
        </w:numPr>
        <w:rPr>
          <w:rFonts w:ascii="Segoe UI" w:hAnsi="Segoe UI" w:cs="Segoe UI"/>
          <w:sz w:val="18"/>
          <w:szCs w:val="18"/>
        </w:rPr>
      </w:pPr>
      <w:r w:rsidRPr="009176DD">
        <w:rPr>
          <w:rStyle w:val="normaltextrun"/>
          <w:rFonts w:cs="Arial"/>
          <w:b/>
          <w:bCs/>
        </w:rPr>
        <w:t>Étape 1 (juillet à début octobre) :</w:t>
      </w:r>
      <w:r w:rsidRPr="009176DD">
        <w:rPr>
          <w:rStyle w:val="normaltextrun"/>
          <w:rFonts w:cs="Arial"/>
        </w:rPr>
        <w:t xml:space="preserve"> préparation de la demande par la personne candidate </w:t>
      </w:r>
      <w:r w:rsidRPr="009176DD">
        <w:rPr>
          <w:rStyle w:val="eop"/>
          <w:rFonts w:cs="Arial"/>
        </w:rPr>
        <w:t> </w:t>
      </w:r>
    </w:p>
    <w:p w14:paraId="0DEC25CF" w14:textId="1D29159D" w:rsidR="00A611EC" w:rsidRPr="00021B18" w:rsidRDefault="00A611EC" w:rsidP="009176DD">
      <w:pPr>
        <w:pStyle w:val="Paragraphedeliste"/>
        <w:numPr>
          <w:ilvl w:val="0"/>
          <w:numId w:val="29"/>
        </w:numPr>
        <w:rPr>
          <w:rFonts w:ascii="Segoe UI" w:hAnsi="Segoe UI" w:cs="Segoe UI"/>
          <w:sz w:val="18"/>
          <w:szCs w:val="18"/>
        </w:rPr>
      </w:pPr>
      <w:r w:rsidRPr="009176DD">
        <w:rPr>
          <w:rStyle w:val="normaltextrun"/>
          <w:rFonts w:cs="Arial"/>
          <w:b/>
          <w:bCs/>
        </w:rPr>
        <w:t xml:space="preserve">Étape 2 (octobre) : </w:t>
      </w:r>
      <w:r w:rsidRPr="009176DD">
        <w:rPr>
          <w:rStyle w:val="normaltextrun"/>
          <w:rFonts w:cs="Arial"/>
        </w:rPr>
        <w:t>transmission de la demande par la personne candidate</w:t>
      </w:r>
      <w:r w:rsidRPr="009176DD">
        <w:rPr>
          <w:rStyle w:val="eop"/>
          <w:rFonts w:cs="Arial"/>
        </w:rPr>
        <w:t> </w:t>
      </w:r>
    </w:p>
    <w:p w14:paraId="37731F30" w14:textId="77777777" w:rsidR="00A611EC" w:rsidRPr="00021B18" w:rsidRDefault="00A611EC" w:rsidP="009176DD">
      <w:pPr>
        <w:pStyle w:val="Paragraphedeliste"/>
        <w:numPr>
          <w:ilvl w:val="0"/>
          <w:numId w:val="29"/>
        </w:numPr>
        <w:rPr>
          <w:rFonts w:ascii="Segoe UI" w:hAnsi="Segoe UI" w:cs="Segoe UI"/>
          <w:sz w:val="18"/>
          <w:szCs w:val="18"/>
        </w:rPr>
      </w:pPr>
      <w:r w:rsidRPr="009176DD">
        <w:rPr>
          <w:rStyle w:val="normaltextrun"/>
          <w:rFonts w:cs="Arial"/>
          <w:b/>
          <w:bCs/>
        </w:rPr>
        <w:t>Étape 3 (octobre à décembre) :</w:t>
      </w:r>
      <w:r w:rsidRPr="009176DD">
        <w:rPr>
          <w:rStyle w:val="normaltextrun"/>
          <w:rFonts w:cs="Arial"/>
        </w:rPr>
        <w:t xml:space="preserve"> vérification des critères d’admissibilité par le FRQ</w:t>
      </w:r>
      <w:r w:rsidRPr="009176DD">
        <w:rPr>
          <w:rStyle w:val="eop"/>
          <w:rFonts w:cs="Arial"/>
        </w:rPr>
        <w:t> </w:t>
      </w:r>
    </w:p>
    <w:p w14:paraId="568035A0" w14:textId="77777777" w:rsidR="00A611EC" w:rsidRPr="00021B18" w:rsidRDefault="00A611EC" w:rsidP="009176DD">
      <w:pPr>
        <w:pStyle w:val="Paragraphedeliste"/>
        <w:numPr>
          <w:ilvl w:val="0"/>
          <w:numId w:val="29"/>
        </w:numPr>
        <w:rPr>
          <w:rFonts w:ascii="Segoe UI" w:hAnsi="Segoe UI" w:cs="Segoe UI"/>
          <w:sz w:val="18"/>
          <w:szCs w:val="18"/>
        </w:rPr>
      </w:pPr>
      <w:r w:rsidRPr="009176DD">
        <w:rPr>
          <w:rStyle w:val="normaltextrun"/>
          <w:rFonts w:cs="Arial"/>
          <w:b/>
          <w:bCs/>
        </w:rPr>
        <w:t>Étape 4 (janvier à mars) :</w:t>
      </w:r>
      <w:r w:rsidRPr="009176DD">
        <w:rPr>
          <w:rStyle w:val="normaltextrun"/>
          <w:rFonts w:cs="Arial"/>
        </w:rPr>
        <w:t xml:space="preserve"> évaluation des demandes par un comité d’expertes et d’experts</w:t>
      </w:r>
      <w:r w:rsidRPr="009176DD">
        <w:rPr>
          <w:rStyle w:val="eop"/>
          <w:rFonts w:cs="Arial"/>
        </w:rPr>
        <w:t> </w:t>
      </w:r>
    </w:p>
    <w:p w14:paraId="0F961604" w14:textId="41456D1C" w:rsidR="00A611EC" w:rsidRPr="00021B18" w:rsidRDefault="00A611EC" w:rsidP="009176DD">
      <w:pPr>
        <w:pStyle w:val="Paragraphedeliste"/>
        <w:numPr>
          <w:ilvl w:val="0"/>
          <w:numId w:val="29"/>
        </w:numPr>
        <w:rPr>
          <w:rFonts w:ascii="Segoe UI" w:hAnsi="Segoe UI" w:cs="Segoe UI"/>
          <w:sz w:val="18"/>
          <w:szCs w:val="18"/>
        </w:rPr>
      </w:pPr>
      <w:r w:rsidRPr="009176DD">
        <w:rPr>
          <w:rStyle w:val="normaltextrun"/>
          <w:rFonts w:cs="Arial"/>
          <w:b/>
          <w:bCs/>
        </w:rPr>
        <w:t>Étape 5 (mi-avril) :</w:t>
      </w:r>
      <w:r w:rsidRPr="009176DD">
        <w:rPr>
          <w:rStyle w:val="normaltextrun"/>
          <w:rFonts w:cs="Arial"/>
        </w:rPr>
        <w:t xml:space="preserve"> approbation du budget des octrois par le conseil d’administration </w:t>
      </w:r>
    </w:p>
    <w:p w14:paraId="0BD75798" w14:textId="77777777" w:rsidR="00A611EC" w:rsidRPr="00021B18" w:rsidRDefault="00A611EC" w:rsidP="009176DD">
      <w:pPr>
        <w:pStyle w:val="Paragraphedeliste"/>
        <w:numPr>
          <w:ilvl w:val="0"/>
          <w:numId w:val="29"/>
        </w:numPr>
        <w:rPr>
          <w:rFonts w:ascii="Segoe UI" w:hAnsi="Segoe UI" w:cs="Segoe UI"/>
          <w:sz w:val="18"/>
          <w:szCs w:val="18"/>
        </w:rPr>
      </w:pPr>
      <w:r w:rsidRPr="009176DD">
        <w:rPr>
          <w:rStyle w:val="normaltextrun"/>
          <w:rFonts w:cs="Arial"/>
          <w:b/>
          <w:bCs/>
        </w:rPr>
        <w:lastRenderedPageBreak/>
        <w:t>Étape 6 (fin avril) :</w:t>
      </w:r>
      <w:r w:rsidRPr="009176DD">
        <w:rPr>
          <w:rStyle w:val="normaltextrun"/>
          <w:rFonts w:cs="Arial"/>
        </w:rPr>
        <w:t xml:space="preserve"> annonce des octrois par le FRQ</w:t>
      </w:r>
      <w:r w:rsidRPr="009176DD">
        <w:rPr>
          <w:rStyle w:val="eop"/>
          <w:rFonts w:cs="Arial"/>
        </w:rPr>
        <w:t> </w:t>
      </w:r>
    </w:p>
    <w:p w14:paraId="7A66B912" w14:textId="13F32167" w:rsidR="00FB2366" w:rsidRPr="002C4432" w:rsidRDefault="00FB2366" w:rsidP="00F9389E">
      <w:pPr>
        <w:pStyle w:val="Titre2"/>
        <w:numPr>
          <w:ilvl w:val="0"/>
          <w:numId w:val="0"/>
        </w:numPr>
        <w:rPr>
          <w:bCs/>
        </w:rPr>
      </w:pPr>
      <w:bookmarkStart w:id="11" w:name="_Toc233714290"/>
      <w:r w:rsidRPr="002C4432">
        <w:t>T</w:t>
      </w:r>
      <w:r w:rsidR="00901DA7" w:rsidRPr="002C4432">
        <w:t>able des matières</w:t>
      </w:r>
      <w:bookmarkEnd w:id="11"/>
    </w:p>
    <w:p w14:paraId="76AD83D6" w14:textId="77777777" w:rsidR="00D802B5" w:rsidRPr="00D802B5" w:rsidRDefault="00D802B5" w:rsidP="00D802B5">
      <w:pPr>
        <w:spacing w:before="360" w:line="276" w:lineRule="auto"/>
        <w:rPr>
          <w:rFonts w:cs="Arial"/>
          <w:b/>
          <w:bCs/>
        </w:rPr>
      </w:pPr>
      <w:r w:rsidRPr="00D802B5">
        <w:rPr>
          <w:rFonts w:cs="Arial"/>
          <w:b/>
          <w:bCs/>
        </w:rPr>
        <w:t>1.</w:t>
      </w:r>
      <w:r w:rsidRPr="00D802B5">
        <w:rPr>
          <w:rFonts w:cs="Arial"/>
          <w:b/>
          <w:bCs/>
        </w:rPr>
        <w:tab/>
        <w:t>Objectifs</w:t>
      </w:r>
      <w:r w:rsidRPr="00D802B5">
        <w:rPr>
          <w:rFonts w:cs="Arial"/>
          <w:b/>
          <w:bCs/>
        </w:rPr>
        <w:tab/>
        <w:t>3</w:t>
      </w:r>
    </w:p>
    <w:p w14:paraId="79A7AEB6" w14:textId="77777777" w:rsidR="00D802B5" w:rsidRPr="00D802B5" w:rsidRDefault="00D802B5" w:rsidP="00D802B5">
      <w:pPr>
        <w:spacing w:before="360" w:line="276" w:lineRule="auto"/>
        <w:rPr>
          <w:rFonts w:cs="Arial"/>
          <w:b/>
          <w:bCs/>
        </w:rPr>
      </w:pPr>
      <w:r w:rsidRPr="00D802B5">
        <w:rPr>
          <w:rFonts w:cs="Arial"/>
          <w:b/>
          <w:bCs/>
        </w:rPr>
        <w:t>2.</w:t>
      </w:r>
      <w:r w:rsidRPr="00D802B5">
        <w:rPr>
          <w:rFonts w:cs="Arial"/>
          <w:b/>
          <w:bCs/>
        </w:rPr>
        <w:tab/>
        <w:t>Caractéristiques du financement</w:t>
      </w:r>
      <w:r w:rsidRPr="00D802B5">
        <w:rPr>
          <w:rFonts w:cs="Arial"/>
          <w:b/>
          <w:bCs/>
        </w:rPr>
        <w:tab/>
        <w:t>3</w:t>
      </w:r>
    </w:p>
    <w:p w14:paraId="30E673A1" w14:textId="77777777" w:rsidR="00D802B5" w:rsidRPr="00D802B5" w:rsidRDefault="00D802B5" w:rsidP="00D802B5">
      <w:pPr>
        <w:spacing w:before="360" w:line="276" w:lineRule="auto"/>
        <w:rPr>
          <w:rFonts w:cs="Arial"/>
          <w:b/>
          <w:bCs/>
        </w:rPr>
      </w:pPr>
      <w:r w:rsidRPr="00D802B5">
        <w:rPr>
          <w:rFonts w:cs="Arial"/>
          <w:b/>
          <w:bCs/>
        </w:rPr>
        <w:t>3.</w:t>
      </w:r>
      <w:r w:rsidRPr="00D802B5">
        <w:rPr>
          <w:rFonts w:cs="Arial"/>
          <w:b/>
          <w:bCs/>
        </w:rPr>
        <w:tab/>
        <w:t>Conditions d’admissibilité</w:t>
      </w:r>
      <w:r w:rsidRPr="00D802B5">
        <w:rPr>
          <w:rFonts w:cs="Arial"/>
          <w:b/>
          <w:bCs/>
        </w:rPr>
        <w:tab/>
        <w:t>4</w:t>
      </w:r>
    </w:p>
    <w:p w14:paraId="13EEB68A" w14:textId="77777777" w:rsidR="00D802B5" w:rsidRPr="00D802B5" w:rsidRDefault="00D802B5" w:rsidP="00D802B5">
      <w:pPr>
        <w:spacing w:before="360" w:line="276" w:lineRule="auto"/>
        <w:rPr>
          <w:rFonts w:cs="Arial"/>
          <w:b/>
          <w:bCs/>
        </w:rPr>
      </w:pPr>
      <w:r w:rsidRPr="00D802B5">
        <w:rPr>
          <w:rFonts w:cs="Arial"/>
          <w:b/>
          <w:bCs/>
        </w:rPr>
        <w:t>4.</w:t>
      </w:r>
      <w:r w:rsidRPr="00D802B5">
        <w:rPr>
          <w:rFonts w:cs="Arial"/>
          <w:b/>
          <w:bCs/>
        </w:rPr>
        <w:tab/>
        <w:t>Demande</w:t>
      </w:r>
      <w:r w:rsidRPr="00D802B5">
        <w:rPr>
          <w:rFonts w:cs="Arial"/>
          <w:b/>
          <w:bCs/>
        </w:rPr>
        <w:tab/>
        <w:t>8</w:t>
      </w:r>
    </w:p>
    <w:p w14:paraId="47DD97CF" w14:textId="77777777" w:rsidR="00D802B5" w:rsidRPr="00D802B5" w:rsidRDefault="00D802B5" w:rsidP="00D802B5">
      <w:pPr>
        <w:spacing w:before="360" w:line="276" w:lineRule="auto"/>
        <w:rPr>
          <w:rFonts w:cs="Arial"/>
          <w:b/>
          <w:bCs/>
        </w:rPr>
      </w:pPr>
      <w:r w:rsidRPr="00D802B5">
        <w:rPr>
          <w:rFonts w:cs="Arial"/>
          <w:b/>
          <w:bCs/>
        </w:rPr>
        <w:t>5.</w:t>
      </w:r>
      <w:r w:rsidRPr="00D802B5">
        <w:rPr>
          <w:rFonts w:cs="Arial"/>
          <w:b/>
          <w:bCs/>
        </w:rPr>
        <w:tab/>
        <w:t>Évaluation</w:t>
      </w:r>
      <w:r w:rsidRPr="00D802B5">
        <w:rPr>
          <w:rFonts w:cs="Arial"/>
          <w:b/>
          <w:bCs/>
        </w:rPr>
        <w:tab/>
        <w:t>13</w:t>
      </w:r>
    </w:p>
    <w:p w14:paraId="1B15CB93" w14:textId="77777777" w:rsidR="00D802B5" w:rsidRPr="00D802B5" w:rsidRDefault="00D802B5" w:rsidP="00D802B5">
      <w:pPr>
        <w:spacing w:before="360" w:line="276" w:lineRule="auto"/>
        <w:rPr>
          <w:rFonts w:cs="Arial"/>
          <w:b/>
          <w:bCs/>
        </w:rPr>
      </w:pPr>
      <w:r w:rsidRPr="00D802B5">
        <w:rPr>
          <w:rFonts w:cs="Arial"/>
          <w:b/>
          <w:bCs/>
        </w:rPr>
        <w:t>6.</w:t>
      </w:r>
      <w:r w:rsidRPr="00D802B5">
        <w:rPr>
          <w:rFonts w:cs="Arial"/>
          <w:b/>
          <w:bCs/>
        </w:rPr>
        <w:tab/>
        <w:t>Partenariats</w:t>
      </w:r>
      <w:r w:rsidRPr="00D802B5">
        <w:rPr>
          <w:rFonts w:cs="Arial"/>
          <w:b/>
          <w:bCs/>
        </w:rPr>
        <w:tab/>
        <w:t>14</w:t>
      </w:r>
    </w:p>
    <w:p w14:paraId="2E2F850B" w14:textId="0028CBD5" w:rsidR="00D802B5" w:rsidRPr="00D802B5" w:rsidRDefault="00D802B5" w:rsidP="00D802B5">
      <w:pPr>
        <w:spacing w:before="360" w:line="276" w:lineRule="auto"/>
        <w:rPr>
          <w:rFonts w:cs="Arial"/>
          <w:b/>
          <w:bCs/>
        </w:rPr>
      </w:pPr>
      <w:r w:rsidRPr="00D802B5">
        <w:rPr>
          <w:rFonts w:cs="Arial"/>
          <w:b/>
          <w:bCs/>
        </w:rPr>
        <w:t>7.</w:t>
      </w:r>
      <w:r w:rsidRPr="00D802B5">
        <w:rPr>
          <w:rFonts w:cs="Arial"/>
          <w:b/>
          <w:bCs/>
        </w:rPr>
        <w:tab/>
        <w:t>Annonce des résultats</w:t>
      </w:r>
      <w:r w:rsidRPr="00D802B5">
        <w:rPr>
          <w:rFonts w:cs="Arial"/>
          <w:b/>
          <w:bCs/>
        </w:rPr>
        <w:tab/>
      </w:r>
      <w:r w:rsidR="00671C76">
        <w:rPr>
          <w:rFonts w:cs="Arial"/>
          <w:b/>
          <w:bCs/>
        </w:rPr>
        <w:t>23</w:t>
      </w:r>
    </w:p>
    <w:p w14:paraId="700FCB23" w14:textId="4E303B8C" w:rsidR="00D802B5" w:rsidRPr="00D802B5" w:rsidRDefault="00D802B5" w:rsidP="00D802B5">
      <w:pPr>
        <w:spacing w:before="360" w:line="276" w:lineRule="auto"/>
        <w:rPr>
          <w:rFonts w:cs="Arial"/>
          <w:b/>
          <w:bCs/>
        </w:rPr>
      </w:pPr>
      <w:r w:rsidRPr="00D802B5">
        <w:rPr>
          <w:rFonts w:cs="Arial"/>
          <w:b/>
          <w:bCs/>
        </w:rPr>
        <w:t>8.</w:t>
      </w:r>
      <w:r w:rsidRPr="00D802B5">
        <w:rPr>
          <w:rFonts w:cs="Arial"/>
          <w:b/>
          <w:bCs/>
        </w:rPr>
        <w:tab/>
      </w:r>
      <w:r w:rsidR="00E64507" w:rsidRPr="00E64507">
        <w:rPr>
          <w:rFonts w:cs="Arial"/>
          <w:b/>
          <w:bCs/>
        </w:rPr>
        <w:t>Prise d’effet de la bourse</w:t>
      </w:r>
      <w:r w:rsidR="00E64507" w:rsidRPr="00E64507" w:rsidDel="00671C76">
        <w:rPr>
          <w:rFonts w:cs="Arial"/>
          <w:b/>
          <w:bCs/>
        </w:rPr>
        <w:t xml:space="preserve"> </w:t>
      </w:r>
      <w:r w:rsidRPr="00D802B5">
        <w:rPr>
          <w:rFonts w:cs="Arial"/>
          <w:b/>
          <w:bCs/>
        </w:rPr>
        <w:tab/>
      </w:r>
      <w:r w:rsidR="00E64507">
        <w:rPr>
          <w:rFonts w:cs="Arial"/>
          <w:b/>
          <w:bCs/>
        </w:rPr>
        <w:t>23</w:t>
      </w:r>
    </w:p>
    <w:p w14:paraId="28F0FD3F" w14:textId="033F7A35" w:rsidR="00D802B5" w:rsidRPr="00D802B5" w:rsidRDefault="00D802B5" w:rsidP="00D802B5">
      <w:pPr>
        <w:spacing w:before="360" w:line="276" w:lineRule="auto"/>
        <w:rPr>
          <w:rFonts w:cs="Arial"/>
          <w:b/>
          <w:bCs/>
        </w:rPr>
      </w:pPr>
      <w:r w:rsidRPr="00D802B5">
        <w:rPr>
          <w:rFonts w:cs="Arial"/>
          <w:b/>
          <w:bCs/>
        </w:rPr>
        <w:t>9.</w:t>
      </w:r>
      <w:r w:rsidRPr="00D802B5">
        <w:rPr>
          <w:rFonts w:cs="Arial"/>
          <w:b/>
          <w:bCs/>
        </w:rPr>
        <w:tab/>
      </w:r>
      <w:r w:rsidR="00671C76" w:rsidRPr="00D802B5">
        <w:rPr>
          <w:rFonts w:cs="Arial"/>
          <w:b/>
          <w:bCs/>
        </w:rPr>
        <w:t>Règles d’utilisation de la bourse</w:t>
      </w:r>
      <w:r w:rsidR="00671C76" w:rsidRPr="00D802B5" w:rsidDel="00671C76">
        <w:rPr>
          <w:rFonts w:cs="Arial"/>
          <w:b/>
          <w:bCs/>
        </w:rPr>
        <w:t xml:space="preserve"> </w:t>
      </w:r>
      <w:r w:rsidRPr="00D802B5">
        <w:rPr>
          <w:rFonts w:cs="Arial"/>
          <w:b/>
          <w:bCs/>
        </w:rPr>
        <w:tab/>
        <w:t>2</w:t>
      </w:r>
      <w:r w:rsidR="00671C76">
        <w:rPr>
          <w:rFonts w:cs="Arial"/>
          <w:b/>
          <w:bCs/>
        </w:rPr>
        <w:t>3</w:t>
      </w:r>
    </w:p>
    <w:p w14:paraId="56CFE410" w14:textId="1DD3C10E" w:rsidR="00165EE5" w:rsidRPr="005612EA" w:rsidRDefault="00165EE5" w:rsidP="009176DD">
      <w:bookmarkStart w:id="12" w:name="_Toc202861978"/>
      <w:r>
        <w:t xml:space="preserve">{Page </w:t>
      </w:r>
      <w:r w:rsidR="0008693F">
        <w:t>3</w:t>
      </w:r>
      <w:r>
        <w:t>}</w:t>
      </w:r>
    </w:p>
    <w:p w14:paraId="3BF17592" w14:textId="00956C6E" w:rsidR="00F059CB" w:rsidRPr="00F9389E" w:rsidRDefault="00BE61D9" w:rsidP="00F9389E">
      <w:pPr>
        <w:pStyle w:val="Titre2"/>
      </w:pPr>
      <w:bookmarkStart w:id="13" w:name="_Toc233714291"/>
      <w:r w:rsidRPr="001A6885">
        <w:t>Objectifs</w:t>
      </w:r>
      <w:bookmarkEnd w:id="12"/>
      <w:bookmarkEnd w:id="13"/>
      <w:r w:rsidRPr="001A6885">
        <w:t xml:space="preserve"> </w:t>
      </w:r>
      <w:r w:rsidRPr="00F9389E">
        <w:tab/>
      </w:r>
    </w:p>
    <w:p w14:paraId="279B3312" w14:textId="26A1BFB9" w:rsidR="00BE61D9" w:rsidRPr="002C4432" w:rsidRDefault="00BE61D9" w:rsidP="009176DD">
      <w:r w:rsidRPr="002C4432">
        <w:t xml:space="preserve">Les bourses de formation </w:t>
      </w:r>
      <w:r w:rsidR="00B55A20" w:rsidRPr="002C4432">
        <w:t xml:space="preserve">du </w:t>
      </w:r>
      <w:r w:rsidRPr="002C4432">
        <w:t>Fonds de recherche du Québec ont pour objectif de contribuer à assurer une relève dans tous les secteurs de recherche</w:t>
      </w:r>
      <w:r w:rsidR="009D1EE2">
        <w:t>:</w:t>
      </w:r>
      <w:r w:rsidRPr="002C4432">
        <w:t xml:space="preserve"> sciences naturelles, sciences mathématiques et génie (</w:t>
      </w:r>
      <w:r w:rsidR="00B55A20" w:rsidRPr="002C4432">
        <w:t>Nature et technologies</w:t>
      </w:r>
      <w:r w:rsidRPr="002C4432">
        <w:t>)</w:t>
      </w:r>
      <w:r w:rsidR="009D1EE2">
        <w:t>;</w:t>
      </w:r>
      <w:r w:rsidRPr="002C4432">
        <w:t xml:space="preserve"> santé humaine (</w:t>
      </w:r>
      <w:r w:rsidR="00B55A20" w:rsidRPr="002C4432">
        <w:t>Santé</w:t>
      </w:r>
      <w:r w:rsidRPr="002C4432">
        <w:t>)</w:t>
      </w:r>
      <w:r w:rsidR="009D1EE2">
        <w:t>;</w:t>
      </w:r>
      <w:r w:rsidRPr="002C4432">
        <w:t xml:space="preserve"> sciences humaines et sociales, arts et lettres (</w:t>
      </w:r>
      <w:r w:rsidR="00B55A20" w:rsidRPr="002C4432">
        <w:t>Société et culture</w:t>
      </w:r>
      <w:r w:rsidRPr="002C4432">
        <w:t xml:space="preserve">). </w:t>
      </w:r>
    </w:p>
    <w:p w14:paraId="08030FB6" w14:textId="2644D754" w:rsidR="00BE61D9" w:rsidRPr="002C4432" w:rsidRDefault="00BE61D9" w:rsidP="009176DD">
      <w:r w:rsidRPr="002C4432">
        <w:t>Plus précisément, la bourse postdoctorale a pour objectifs de</w:t>
      </w:r>
      <w:r w:rsidR="009D1EE2">
        <w:t>:</w:t>
      </w:r>
      <w:r w:rsidRPr="002C4432">
        <w:t xml:space="preserve"> </w:t>
      </w:r>
    </w:p>
    <w:p w14:paraId="799AEB72" w14:textId="66067A67" w:rsidR="00090D8A" w:rsidRPr="002C4432" w:rsidRDefault="00BE61D9" w:rsidP="009176DD">
      <w:pPr>
        <w:pStyle w:val="Paragraphedeliste"/>
        <w:numPr>
          <w:ilvl w:val="0"/>
          <w:numId w:val="30"/>
        </w:numPr>
      </w:pPr>
      <w:r w:rsidRPr="002C4432">
        <w:t xml:space="preserve">Stimuler l’intérêt des personnes nouvellement diplômées au doctorat à parfaire leur formation et élargir leur champ de recherche </w:t>
      </w:r>
    </w:p>
    <w:p w14:paraId="4D1E232A" w14:textId="07BA0007" w:rsidR="00090D8A" w:rsidRPr="002C4432" w:rsidRDefault="00BE61D9" w:rsidP="009176DD">
      <w:pPr>
        <w:pStyle w:val="Paragraphedeliste"/>
        <w:numPr>
          <w:ilvl w:val="0"/>
          <w:numId w:val="30"/>
        </w:numPr>
      </w:pPr>
      <w:r w:rsidRPr="002C4432">
        <w:t xml:space="preserve">Encourager la mobilité vers des milieux stimulants et dynamiques sur le plan scientifique </w:t>
      </w:r>
    </w:p>
    <w:p w14:paraId="16901012" w14:textId="7B8D9070" w:rsidR="00090D8A" w:rsidRPr="002C4432" w:rsidRDefault="00BE61D9" w:rsidP="009176DD">
      <w:pPr>
        <w:pStyle w:val="Paragraphedeliste"/>
        <w:numPr>
          <w:ilvl w:val="0"/>
          <w:numId w:val="30"/>
        </w:numPr>
      </w:pPr>
      <w:r w:rsidRPr="002C4432">
        <w:lastRenderedPageBreak/>
        <w:t xml:space="preserve">Favoriser l’intégration dans de nouveaux réseaux et le développement de nouvelles collaborations </w:t>
      </w:r>
    </w:p>
    <w:p w14:paraId="6CDDB4A0" w14:textId="22E74E2C" w:rsidR="00090D8A" w:rsidRPr="002C4432" w:rsidRDefault="00BE61D9" w:rsidP="009176DD">
      <w:pPr>
        <w:pStyle w:val="Paragraphedeliste"/>
        <w:numPr>
          <w:ilvl w:val="0"/>
          <w:numId w:val="30"/>
        </w:numPr>
      </w:pPr>
      <w:r w:rsidRPr="002C4432">
        <w:t xml:space="preserve">Encourager l’acquisition de nouvelles compétences, comme l’aptitude à faire dialoguer la science et la société </w:t>
      </w:r>
    </w:p>
    <w:p w14:paraId="7BCB5363" w14:textId="2779CB91" w:rsidR="00BE61D9" w:rsidRDefault="00BE61D9" w:rsidP="009176DD">
      <w:pPr>
        <w:pStyle w:val="Paragraphedeliste"/>
        <w:numPr>
          <w:ilvl w:val="0"/>
          <w:numId w:val="30"/>
        </w:numPr>
      </w:pPr>
      <w:r w:rsidRPr="002C4432">
        <w:t xml:space="preserve">Attirer et retenir au Québec les meilleurs talents </w:t>
      </w:r>
    </w:p>
    <w:p w14:paraId="0A2257C2" w14:textId="77777777" w:rsidR="008E7374" w:rsidRPr="009712A7" w:rsidRDefault="008E7374" w:rsidP="004B516A">
      <w:pPr>
        <w:pStyle w:val="Titre2"/>
      </w:pPr>
      <w:bookmarkStart w:id="14" w:name="_Toc233714292"/>
      <w:r w:rsidRPr="009176DD">
        <w:t>Caractéristiques du financement</w:t>
      </w:r>
      <w:bookmarkEnd w:id="14"/>
      <w:r w:rsidRPr="009176DD">
        <w:t xml:space="preserve"> </w:t>
      </w:r>
    </w:p>
    <w:p w14:paraId="7E4B08A6" w14:textId="77777777" w:rsidR="00FD4827" w:rsidRPr="003F063D" w:rsidRDefault="00BE61D9" w:rsidP="003F063D">
      <w:pPr>
        <w:pStyle w:val="Titre3"/>
      </w:pPr>
      <w:bookmarkStart w:id="15" w:name="_Toc233714293"/>
      <w:r w:rsidRPr="003F063D">
        <w:t>Valeur et durée de la bourse</w:t>
      </w:r>
      <w:bookmarkEnd w:id="15"/>
      <w:r w:rsidRPr="003F063D">
        <w:t xml:space="preserve"> </w:t>
      </w:r>
    </w:p>
    <w:p w14:paraId="112F052E" w14:textId="77777777" w:rsidR="007932F5" w:rsidRPr="002C4432" w:rsidRDefault="007932F5" w:rsidP="009176DD">
      <w:r w:rsidRPr="002C4432">
        <w:t xml:space="preserve">La valeur annuelle de la bourse postdoctorale est de </w:t>
      </w:r>
      <w:r w:rsidRPr="002C4432">
        <w:rPr>
          <w:b/>
          <w:bCs/>
        </w:rPr>
        <w:t>45 000 $</w:t>
      </w:r>
      <w:r w:rsidRPr="002C4432">
        <w:t xml:space="preserve">. </w:t>
      </w:r>
    </w:p>
    <w:p w14:paraId="6A4FC46A" w14:textId="0ED2A7AF" w:rsidR="007932F5" w:rsidRPr="002C4432" w:rsidRDefault="007932F5" w:rsidP="009176DD">
      <w:r w:rsidRPr="002C4432">
        <w:t>Sa durée est de</w:t>
      </w:r>
      <w:r w:rsidRPr="002C4432">
        <w:rPr>
          <w:b/>
          <w:bCs/>
        </w:rPr>
        <w:t xml:space="preserve"> 6 mois</w:t>
      </w:r>
      <w:r w:rsidRPr="002C4432">
        <w:t xml:space="preserve"> au minimum et peut s’étendre jusqu’à </w:t>
      </w:r>
      <w:r w:rsidRPr="002C4432">
        <w:rPr>
          <w:b/>
          <w:bCs/>
        </w:rPr>
        <w:t>2 ans</w:t>
      </w:r>
      <w:r w:rsidRPr="002C4432">
        <w:t>, pour un total de 90</w:t>
      </w:r>
      <w:r w:rsidR="009869C3" w:rsidRPr="002C4432">
        <w:t> </w:t>
      </w:r>
      <w:r w:rsidRPr="002C4432">
        <w:t>000</w:t>
      </w:r>
      <w:r w:rsidR="009869C3" w:rsidRPr="002C4432">
        <w:t> </w:t>
      </w:r>
      <w:r w:rsidRPr="002C4432">
        <w:t xml:space="preserve">$. </w:t>
      </w:r>
      <w:r w:rsidR="005F6161" w:rsidRPr="005F6161">
        <w:t>À l’intérieur de cette période, il revient à la personne candidate de préciser, dans le formulaire de demande, la durée requise à la réalisation de son projet. En cas d’octroi, la durée indiquée permet d’établir le montant de la bourse offerte.</w:t>
      </w:r>
    </w:p>
    <w:p w14:paraId="6CD7E310" w14:textId="4E2E5E2E" w:rsidR="008A1531" w:rsidRPr="003871A1" w:rsidRDefault="00FD4827" w:rsidP="00F9389E">
      <w:pPr>
        <w:pStyle w:val="Titre3"/>
      </w:pPr>
      <w:bookmarkStart w:id="16" w:name="_Toc233714294"/>
      <w:bookmarkStart w:id="17" w:name="_Toc233714295"/>
      <w:bookmarkStart w:id="18" w:name="_Toc233714296"/>
      <w:bookmarkEnd w:id="16"/>
      <w:bookmarkEnd w:id="17"/>
      <w:r w:rsidRPr="00F9389E">
        <w:rPr>
          <w:rStyle w:val="Titre3Car"/>
          <w:b/>
          <w:bCs/>
        </w:rPr>
        <w:t>Supplément pour milieu d’accueil situé</w:t>
      </w:r>
      <w:r w:rsidRPr="003871A1">
        <w:t xml:space="preserve"> à l’extérieur du Québe</w:t>
      </w:r>
      <w:r w:rsidR="003E339B" w:rsidRPr="003871A1">
        <w:t>c</w:t>
      </w:r>
      <w:bookmarkEnd w:id="18"/>
      <w:r w:rsidR="003E339B" w:rsidRPr="003871A1">
        <w:t xml:space="preserve"> </w:t>
      </w:r>
    </w:p>
    <w:p w14:paraId="0A2FF2D4" w14:textId="07BA7379" w:rsidR="00BE61D9" w:rsidRPr="002C4432" w:rsidRDefault="00281AA5" w:rsidP="009176DD">
      <w:r w:rsidRPr="002C4432">
        <w:t xml:space="preserve">Ce </w:t>
      </w:r>
      <w:r w:rsidR="00BE61D9" w:rsidRPr="002C4432">
        <w:t>supplément</w:t>
      </w:r>
      <w:r w:rsidRPr="002C4432">
        <w:t xml:space="preserve"> d’une valeur</w:t>
      </w:r>
      <w:r w:rsidR="00BE61D9" w:rsidRPr="002C4432">
        <w:t xml:space="preserve"> de 10 000 $ par année</w:t>
      </w:r>
      <w:r w:rsidRPr="002C4432">
        <w:t xml:space="preserve"> s’adresse </w:t>
      </w:r>
      <w:r w:rsidRPr="002C4432">
        <w:rPr>
          <w:b/>
        </w:rPr>
        <w:t>uniquement</w:t>
      </w:r>
      <w:r w:rsidRPr="002C4432">
        <w:t xml:space="preserve"> aux personnes candidates qui </w:t>
      </w:r>
      <w:r w:rsidR="007A7E58" w:rsidRPr="002C4432">
        <w:t>indiquent un milieu d’accueil situé à l’extérieur du Québec au moment du dépôt de la demande. En cas d’octroi, le supplément</w:t>
      </w:r>
      <w:r w:rsidR="00BE61D9" w:rsidRPr="002C4432">
        <w:t xml:space="preserve"> sera accordé si le lieu de résidence de la personne titulaire de la bourse se situe à l’extérieur du Québec (voir la section 3.4 pour connaître les conditions d’utilisation de la bourse à l’extérieur du Québec). </w:t>
      </w:r>
    </w:p>
    <w:p w14:paraId="6C8360EA" w14:textId="2E44F7AE" w:rsidR="00BE61D9" w:rsidRPr="002C4432" w:rsidRDefault="00BE61D9" w:rsidP="009176DD">
      <w:r w:rsidRPr="002C4432">
        <w:t xml:space="preserve">En cas de cosupervision dans un milieu d’accueil situé à l’extérieur du Québec, le supplément annuel est conditionnel à une présence minimum de 180 jours par année dans le milieu d’accueil. </w:t>
      </w:r>
    </w:p>
    <w:p w14:paraId="1F421B34" w14:textId="1F737145" w:rsidR="00040AB9" w:rsidRDefault="00BE61D9" w:rsidP="009176DD">
      <w:r w:rsidRPr="002C4432">
        <w:t xml:space="preserve">En cas d’octroi, la personne titulaire de la bourse qui est admissible à ce supplément a également droit au remboursement de certains frais de déplacement (voir la section </w:t>
      </w:r>
      <w:r w:rsidR="00F85C04" w:rsidRPr="00F85C04">
        <w:t xml:space="preserve">9 des </w:t>
      </w:r>
      <w:hyperlink r:id="rId19" w:history="1">
        <w:r w:rsidR="00F85C04" w:rsidRPr="00F85C04">
          <w:rPr>
            <w:rStyle w:val="Lienhypertexte"/>
          </w:rPr>
          <w:t>règles d’utilisation d’une bourse postdoctorale du FRQ</w:t>
        </w:r>
      </w:hyperlink>
      <w:r w:rsidRPr="002C4432">
        <w:t xml:space="preserve">). </w:t>
      </w:r>
    </w:p>
    <w:p w14:paraId="382C9379" w14:textId="3248E5A1" w:rsidR="00272FEA" w:rsidRPr="002C4432" w:rsidRDefault="00272FEA" w:rsidP="009176DD">
      <w:r>
        <w:t>{Page 4}</w:t>
      </w:r>
    </w:p>
    <w:p w14:paraId="42F9F9E6" w14:textId="77777777" w:rsidR="00333B88" w:rsidRDefault="00BE61D9" w:rsidP="000639B1">
      <w:pPr>
        <w:pStyle w:val="Titre2"/>
      </w:pPr>
      <w:bookmarkStart w:id="19" w:name="_Toc202861980"/>
      <w:bookmarkStart w:id="20" w:name="_Toc233714297"/>
      <w:r w:rsidRPr="000639B1">
        <w:lastRenderedPageBreak/>
        <w:t>Conditions d’admissibilité</w:t>
      </w:r>
      <w:bookmarkEnd w:id="19"/>
      <w:bookmarkEnd w:id="20"/>
      <w:r w:rsidRPr="000639B1">
        <w:t xml:space="preserve"> </w:t>
      </w:r>
      <w:r w:rsidRPr="000639B1">
        <w:tab/>
      </w:r>
    </w:p>
    <w:p w14:paraId="215F6EDC" w14:textId="122EA2AA" w:rsidR="00333B88" w:rsidRPr="00333B88" w:rsidRDefault="00333B88" w:rsidP="00F9389E">
      <w:r w:rsidRPr="002C4432">
        <w:t xml:space="preserve">La personne candidate doit respecter les conditions d’admissibilité suivantes. En cas d’octroi, les conditions décrites aux sections 3.1 et 3.4 à 3.6 devront être respectées pendant toute la durée de la bourse. </w:t>
      </w:r>
    </w:p>
    <w:p w14:paraId="201C2C98" w14:textId="69BB8B28" w:rsidR="008A1531" w:rsidRPr="00066619" w:rsidRDefault="00BE61D9" w:rsidP="00F9389E">
      <w:pPr>
        <w:pStyle w:val="Titre3"/>
      </w:pPr>
      <w:bookmarkStart w:id="21" w:name="_Toc233714298"/>
      <w:bookmarkStart w:id="22" w:name="_Toc233714300"/>
      <w:bookmarkEnd w:id="21"/>
      <w:r w:rsidRPr="00066619">
        <w:t>Conditions de base</w:t>
      </w:r>
      <w:bookmarkEnd w:id="22"/>
      <w:r w:rsidRPr="00066619">
        <w:tab/>
      </w:r>
    </w:p>
    <w:p w14:paraId="6A4AE3AC" w14:textId="75E9969E" w:rsidR="00BE61D9" w:rsidRPr="002C4432" w:rsidRDefault="00BE61D9" w:rsidP="009176DD">
      <w:r w:rsidRPr="002C4432">
        <w:t>Conformément à l’article 2.1 des RGC, pour être admissible à déposer une demande de bourse postdoctorale, la personne candidate doit avoir</w:t>
      </w:r>
      <w:r w:rsidR="009D1EE2">
        <w:t>:</w:t>
      </w:r>
    </w:p>
    <w:p w14:paraId="51DF7ED2" w14:textId="2BE57BE7" w:rsidR="00BE61D9" w:rsidRPr="002C4432" w:rsidRDefault="00BE61D9" w:rsidP="009176DD">
      <w:pPr>
        <w:pStyle w:val="Paragraphedeliste"/>
        <w:numPr>
          <w:ilvl w:val="0"/>
          <w:numId w:val="31"/>
        </w:numPr>
      </w:pPr>
      <w:r w:rsidRPr="002C4432">
        <w:t xml:space="preserve">la citoyenneté canadienne ou la résidence permanente canadienne, </w:t>
      </w:r>
      <w:r w:rsidR="00E56ABD" w:rsidRPr="00F9389E">
        <w:rPr>
          <w:b/>
          <w:bCs/>
        </w:rPr>
        <w:t>et</w:t>
      </w:r>
    </w:p>
    <w:p w14:paraId="06111AAE" w14:textId="4B176398" w:rsidR="00BE61D9" w:rsidRPr="002C4432" w:rsidRDefault="00BE61D9" w:rsidP="009176DD">
      <w:pPr>
        <w:pStyle w:val="Paragraphedeliste"/>
        <w:numPr>
          <w:ilvl w:val="0"/>
          <w:numId w:val="31"/>
        </w:numPr>
      </w:pPr>
      <w:r w:rsidRPr="002C4432">
        <w:t>une carte de la Régie de l’assurance maladie du Québec (RAMQ) valide à la date limite du concours, ou une preuve attestant qu’une carte a été demandée à la RAMQ et qu’elle sera valide à la date limite du concours</w:t>
      </w:r>
      <w:r w:rsidR="00070024" w:rsidRPr="002C4432">
        <w:t>, ou si elle est en processus de renouvellement de sa carte RAMQ à la date limite du concours, une preuve qu’une nouvelle carte a été demandée à la RAMQ et une copie de sa carte échue</w:t>
      </w:r>
      <w:r w:rsidRPr="002C4432">
        <w:t>.</w:t>
      </w:r>
    </w:p>
    <w:p w14:paraId="59393743" w14:textId="6B22C979" w:rsidR="00BE61D9" w:rsidRPr="002C4432" w:rsidRDefault="7B3C10F9" w:rsidP="009176DD">
      <w:r w:rsidRPr="002C4432">
        <w:t xml:space="preserve">Si l’une ou l’autre ou les deux conditions ci-dessus ne sont pas remplies, la personne candidate demeure admissible à condition de </w:t>
      </w:r>
      <w:r w:rsidR="5596ACBA" w:rsidRPr="002C4432">
        <w:rPr>
          <w:rFonts w:eastAsia="Calibri"/>
          <w:kern w:val="0"/>
          <w:lang w:val="fr-CA"/>
        </w:rPr>
        <w:t xml:space="preserve">transmettre le </w:t>
      </w:r>
      <w:r w:rsidR="5596ACBA" w:rsidRPr="002C4432">
        <w:rPr>
          <w:rFonts w:eastAsia="Times New Roman"/>
          <w:kern w:val="36"/>
          <w:lang w:val="fr-CA" w:eastAsia="fr-CA"/>
          <w14:ligatures w14:val="none"/>
        </w:rPr>
        <w:t xml:space="preserve">formulaire </w:t>
      </w:r>
      <w:r w:rsidR="1C961084" w:rsidRPr="002C4432">
        <w:rPr>
          <w:rFonts w:eastAsia="Times New Roman"/>
          <w:kern w:val="36"/>
          <w:lang w:val="fr-CA" w:eastAsia="fr-CA"/>
          <w14:ligatures w14:val="none"/>
        </w:rPr>
        <w:t xml:space="preserve">de consentement et la lettre </w:t>
      </w:r>
      <w:r w:rsidR="5596ACBA" w:rsidRPr="002C4432">
        <w:rPr>
          <w:rFonts w:eastAsia="Times New Roman"/>
          <w:lang w:val="fr-CA" w:eastAsia="fr-CA"/>
        </w:rPr>
        <w:t xml:space="preserve">d’acceptation </w:t>
      </w:r>
      <w:r w:rsidR="5596ACBA" w:rsidRPr="002C4432">
        <w:rPr>
          <w:rFonts w:eastAsia="Times New Roman"/>
          <w:kern w:val="36"/>
          <w:lang w:val="fr-CA" w:eastAsia="fr-CA"/>
          <w14:ligatures w14:val="none"/>
        </w:rPr>
        <w:t>de sa superviseure ou de son superviseur (voir la section 4.</w:t>
      </w:r>
      <w:r w:rsidR="113FCA2D" w:rsidRPr="002C4432">
        <w:rPr>
          <w:rFonts w:eastAsia="Times New Roman"/>
          <w:kern w:val="36"/>
          <w:lang w:val="fr-CA" w:eastAsia="fr-CA"/>
          <w14:ligatures w14:val="none"/>
        </w:rPr>
        <w:t>3</w:t>
      </w:r>
      <w:r w:rsidR="5596ACBA" w:rsidRPr="002C4432">
        <w:rPr>
          <w:rFonts w:eastAsia="Times New Roman"/>
          <w:kern w:val="36"/>
          <w:lang w:val="fr-CA" w:eastAsia="fr-CA"/>
          <w14:ligatures w14:val="none"/>
        </w:rPr>
        <w:t>)</w:t>
      </w:r>
      <w:r w:rsidR="5596ACBA" w:rsidRPr="002C4432">
        <w:rPr>
          <w:rFonts w:eastAsia="Calibri"/>
          <w:kern w:val="0"/>
          <w:lang w:val="fr-CA"/>
        </w:rPr>
        <w:t>. De plus, elle doit faire son stage postdoctoral au Québec (voir la section 3.4).</w:t>
      </w:r>
    </w:p>
    <w:p w14:paraId="0309EC12" w14:textId="3E72657B" w:rsidR="00BE61D9" w:rsidRPr="002C4432" w:rsidRDefault="00BE61D9" w:rsidP="00F9389E">
      <w:pPr>
        <w:pStyle w:val="Titre3"/>
      </w:pPr>
      <w:bookmarkStart w:id="23" w:name="_Toc233714301"/>
      <w:r w:rsidRPr="002C4432">
        <w:t>Période d’admissibilité</w:t>
      </w:r>
      <w:bookmarkEnd w:id="23"/>
      <w:r w:rsidRPr="002C4432">
        <w:t xml:space="preserve">  </w:t>
      </w:r>
    </w:p>
    <w:p w14:paraId="2EB22324" w14:textId="6AA42260" w:rsidR="00BE61D9" w:rsidRPr="002C4432" w:rsidRDefault="00BE61D9" w:rsidP="009176DD">
      <w:r w:rsidRPr="002C4432">
        <w:t>Pour être admissible à une bourse postdoctorale, la personne candidate doit, à la date limite du concours</w:t>
      </w:r>
      <w:r w:rsidR="009D1EE2">
        <w:t>:</w:t>
      </w:r>
      <w:r w:rsidRPr="002C4432">
        <w:t xml:space="preserve"> </w:t>
      </w:r>
    </w:p>
    <w:p w14:paraId="6DEA8160" w14:textId="23245C61" w:rsidR="00BE61D9" w:rsidRPr="002C4432" w:rsidRDefault="00B278F5" w:rsidP="009176DD">
      <w:pPr>
        <w:pStyle w:val="Paragraphedeliste"/>
        <w:numPr>
          <w:ilvl w:val="0"/>
          <w:numId w:val="33"/>
        </w:numPr>
      </w:pPr>
      <w:r w:rsidRPr="002C4432">
        <w:t xml:space="preserve">avoir </w:t>
      </w:r>
      <w:r w:rsidR="00BE61D9" w:rsidRPr="002C4432">
        <w:t xml:space="preserve">obtenu un diplôme de doctorat depuis moins de deux ans, </w:t>
      </w:r>
      <w:r w:rsidRPr="002C4432">
        <w:t>ou</w:t>
      </w:r>
    </w:p>
    <w:p w14:paraId="58723105" w14:textId="3C0D7131" w:rsidR="00BE61D9" w:rsidRPr="002C4432" w:rsidRDefault="00B278F5" w:rsidP="009176DD">
      <w:pPr>
        <w:pStyle w:val="Paragraphedeliste"/>
        <w:numPr>
          <w:ilvl w:val="0"/>
          <w:numId w:val="33"/>
        </w:numPr>
      </w:pPr>
      <w:r w:rsidRPr="002C4432">
        <w:t xml:space="preserve">prévoir </w:t>
      </w:r>
      <w:r w:rsidR="00BE61D9" w:rsidRPr="002C4432">
        <w:t xml:space="preserve">procéder au dépôt initial de sa thèse au plus tard le </w:t>
      </w:r>
      <w:r w:rsidR="00BE61D9" w:rsidRPr="0008693F">
        <w:rPr>
          <w:b/>
          <w:bCs/>
        </w:rPr>
        <w:t>1</w:t>
      </w:r>
      <w:r w:rsidR="00BE61D9" w:rsidRPr="0008693F">
        <w:rPr>
          <w:b/>
          <w:bCs/>
          <w:vertAlign w:val="superscript"/>
        </w:rPr>
        <w:t>er</w:t>
      </w:r>
      <w:r w:rsidR="00BE61D9" w:rsidRPr="0008693F">
        <w:rPr>
          <w:b/>
          <w:bCs/>
        </w:rPr>
        <w:t xml:space="preserve"> mars </w:t>
      </w:r>
      <w:r w:rsidR="005E3AD3" w:rsidRPr="0008693F">
        <w:rPr>
          <w:b/>
          <w:bCs/>
        </w:rPr>
        <w:t>202</w:t>
      </w:r>
      <w:r w:rsidR="005E3AD3">
        <w:rPr>
          <w:b/>
          <w:bCs/>
        </w:rPr>
        <w:t>8</w:t>
      </w:r>
    </w:p>
    <w:p w14:paraId="42A7120A" w14:textId="331EE8C7" w:rsidR="003C05A3" w:rsidRDefault="00016653" w:rsidP="009176DD">
      <w:r w:rsidRPr="002C4432">
        <w:t>Lorsque la</w:t>
      </w:r>
      <w:r w:rsidR="00BE61D9" w:rsidRPr="002C4432">
        <w:t xml:space="preserve"> personne détient plus d’un doctorat de recherche, la date d’obtention du doctorat le plus récent sera utilisée pour déterminer l’admissibilité. </w:t>
      </w:r>
    </w:p>
    <w:p w14:paraId="41EFD4B9" w14:textId="35C7BE94" w:rsidR="00BE61D9" w:rsidRPr="002C4432" w:rsidRDefault="00BE61D9" w:rsidP="009176DD">
      <w:pPr>
        <w:rPr>
          <w:b/>
          <w:bCs/>
        </w:rPr>
      </w:pPr>
      <w:r w:rsidRPr="002C4432">
        <w:rPr>
          <w:b/>
          <w:bCs/>
        </w:rPr>
        <w:t>Mesures d’exception</w:t>
      </w:r>
      <w:r w:rsidR="009D1EE2">
        <w:rPr>
          <w:b/>
          <w:bCs/>
        </w:rPr>
        <w:t>:</w:t>
      </w:r>
      <w:r w:rsidRPr="002C4432">
        <w:rPr>
          <w:b/>
          <w:bCs/>
        </w:rPr>
        <w:t xml:space="preserve"> </w:t>
      </w:r>
    </w:p>
    <w:p w14:paraId="28C08990" w14:textId="19AC0B65" w:rsidR="00BE61D9" w:rsidRPr="002C4432" w:rsidRDefault="00BE61D9" w:rsidP="009176DD">
      <w:pPr>
        <w:pStyle w:val="Paragraphedeliste"/>
        <w:numPr>
          <w:ilvl w:val="0"/>
          <w:numId w:val="32"/>
        </w:numPr>
      </w:pPr>
      <w:r w:rsidRPr="0008693F">
        <w:rPr>
          <w:b/>
          <w:bCs/>
        </w:rPr>
        <w:t>Prolongation</w:t>
      </w:r>
      <w:r w:rsidR="009D1EE2">
        <w:rPr>
          <w:b/>
          <w:bCs/>
          <w:i/>
          <w:iCs/>
        </w:rPr>
        <w:t>:</w:t>
      </w:r>
      <w:r w:rsidRPr="002C4432">
        <w:t xml:space="preserve"> Une personne candidate qui aurait interrompu ou retardé son parcours en recherche après l’obtention de son doctorat, en raison notamment </w:t>
      </w:r>
      <w:r w:rsidRPr="002C4432">
        <w:lastRenderedPageBreak/>
        <w:t xml:space="preserve">de congés parentaux, d’obligations familiales majeures, d’un deuil, d’une période de carrière hors du milieu de la recherche ou pour des raisons de santé, peut voir sa période d’admissibilité prolongée. Dans le cas d’une interruption pour congé parental, familial, de santé ou de deuil, la prolongation accordée équivaut </w:t>
      </w:r>
      <w:r w:rsidRPr="0008693F">
        <w:rPr>
          <w:b/>
          <w:bCs/>
        </w:rPr>
        <w:t>à deux fois la durée du congé</w:t>
      </w:r>
      <w:r w:rsidRPr="002C4432">
        <w:t xml:space="preserve">. Dans le cas d’une interruption pour une période de carrière hors du milieu de la recherche, la prolongation accordée correspond à la </w:t>
      </w:r>
      <w:r w:rsidRPr="0008693F">
        <w:rPr>
          <w:b/>
          <w:bCs/>
        </w:rPr>
        <w:t>durée de l’interruption</w:t>
      </w:r>
      <w:r w:rsidRPr="002C4432">
        <w:t>. Dans le cas d’un ralentissement, le Fonds détermine la prolongation à accorder après analyse des documents justificatifs fournis avec la demande.</w:t>
      </w:r>
    </w:p>
    <w:p w14:paraId="7D6A104E" w14:textId="702EA844" w:rsidR="00BE61D9" w:rsidRPr="002C4432" w:rsidRDefault="00BE61D9" w:rsidP="009176DD">
      <w:pPr>
        <w:pStyle w:val="Paragraphedeliste"/>
        <w:numPr>
          <w:ilvl w:val="0"/>
          <w:numId w:val="32"/>
        </w:numPr>
      </w:pPr>
      <w:r w:rsidRPr="0008693F">
        <w:rPr>
          <w:b/>
          <w:bCs/>
        </w:rPr>
        <w:t>Exemption</w:t>
      </w:r>
      <w:r w:rsidR="009D1EE2">
        <w:t>:</w:t>
      </w:r>
      <w:r w:rsidRPr="002C4432">
        <w:t xml:space="preserve"> Une personne ayant interrompu ou retardé son parcours en recherche en raison d’un handicap peut bénéficier d’une exemption des règles relatives à la période d’admissibilité. Une même personne ne peut toutefois présenter une demande de bourse postdoctorale plus de deux fois après l’obtention du doctorat. Cette mesure d’exemption est réservée aux personnes répondant à la définition de </w:t>
      </w:r>
      <w:r w:rsidR="00B648EA">
        <w:t>«</w:t>
      </w:r>
      <w:r w:rsidRPr="002C4432">
        <w:t xml:space="preserve">personne handicapée» selon la </w:t>
      </w:r>
      <w:hyperlink r:id="rId20" w:history="1">
        <w:r w:rsidR="00824807" w:rsidRPr="0008693F">
          <w:rPr>
            <w:rStyle w:val="Lienhypertexte"/>
            <w:rFonts w:cs="Arial"/>
            <w:iCs/>
          </w:rPr>
          <w:t>Loi assurant l’exercice des droits des personnes handicapées en vue de leur intégration scolaire, professionnelle et sociale</w:t>
        </w:r>
      </w:hyperlink>
      <w:r w:rsidR="00824807" w:rsidRPr="0008693F">
        <w:rPr>
          <w:rStyle w:val="normaltextrun"/>
          <w:rFonts w:cs="Arial"/>
          <w:iCs/>
          <w:color w:val="000000" w:themeColor="text1"/>
        </w:rPr>
        <w:t xml:space="preserve"> </w:t>
      </w:r>
      <w:r w:rsidR="00824807" w:rsidRPr="002C4432">
        <w:t>(RLRQ, c. E-20.1).</w:t>
      </w:r>
    </w:p>
    <w:p w14:paraId="43328496" w14:textId="77777777" w:rsidR="003F2D04" w:rsidRDefault="003F2D04" w:rsidP="009176DD">
      <w:pPr>
        <w:rPr>
          <w:lang w:val="fr-CA" w:eastAsia="fr-CA"/>
        </w:rPr>
      </w:pPr>
      <w:r w:rsidRPr="003F2D04">
        <w:rPr>
          <w:lang w:val="fr-CA" w:eastAsia="fr-CA"/>
        </w:rPr>
        <w:t>{Page 5}</w:t>
      </w:r>
    </w:p>
    <w:p w14:paraId="45E3F3E9" w14:textId="62C1E31C" w:rsidR="00A21E60" w:rsidRPr="002C4432" w:rsidRDefault="00C33540" w:rsidP="009176DD">
      <w:pPr>
        <w:rPr>
          <w:lang w:val="fr-CA" w:eastAsia="fr-CA"/>
        </w:rPr>
      </w:pPr>
      <w:r w:rsidRPr="002C4432">
        <w:rPr>
          <w:lang w:val="fr-CA" w:eastAsia="fr-CA"/>
        </w:rPr>
        <w:t xml:space="preserve">La demande d’exception </w:t>
      </w:r>
      <w:r w:rsidR="00A21E60" w:rsidRPr="002C4432">
        <w:rPr>
          <w:lang w:val="fr-CA" w:eastAsia="fr-CA"/>
        </w:rPr>
        <w:t>ainsi que les</w:t>
      </w:r>
      <w:r w:rsidRPr="002C4432">
        <w:rPr>
          <w:lang w:val="fr-CA" w:eastAsia="fr-CA"/>
        </w:rPr>
        <w:t xml:space="preserve"> documents justificatifs </w:t>
      </w:r>
      <w:r w:rsidR="00927658" w:rsidRPr="002C4432">
        <w:rPr>
          <w:lang w:val="fr-CA" w:eastAsia="fr-CA"/>
        </w:rPr>
        <w:t>attestant</w:t>
      </w:r>
      <w:r w:rsidRPr="002C4432">
        <w:rPr>
          <w:lang w:val="fr-CA" w:eastAsia="fr-CA"/>
        </w:rPr>
        <w:t xml:space="preserve"> de la date</w:t>
      </w:r>
      <w:r w:rsidR="00826E89" w:rsidRPr="002C4432">
        <w:rPr>
          <w:lang w:val="fr-CA" w:eastAsia="fr-CA"/>
        </w:rPr>
        <w:t>,</w:t>
      </w:r>
      <w:r w:rsidRPr="002C4432">
        <w:rPr>
          <w:lang w:val="fr-CA" w:eastAsia="fr-CA"/>
        </w:rPr>
        <w:t xml:space="preserve"> de la durée de l’interruption</w:t>
      </w:r>
      <w:r w:rsidR="00826E89" w:rsidRPr="002C4432">
        <w:rPr>
          <w:lang w:val="fr-CA" w:eastAsia="fr-CA"/>
        </w:rPr>
        <w:t xml:space="preserve"> et</w:t>
      </w:r>
      <w:r w:rsidRPr="002C4432">
        <w:rPr>
          <w:lang w:val="fr-CA" w:eastAsia="fr-CA"/>
        </w:rPr>
        <w:t xml:space="preserve"> du taux de ralentissement des activités, le cas échéant</w:t>
      </w:r>
      <w:r w:rsidR="00826E89" w:rsidRPr="002C4432">
        <w:rPr>
          <w:lang w:val="fr-CA" w:eastAsia="fr-CA"/>
        </w:rPr>
        <w:t xml:space="preserve">, </w:t>
      </w:r>
      <w:r w:rsidR="00A21E60" w:rsidRPr="002C4432">
        <w:rPr>
          <w:lang w:val="fr-CA" w:eastAsia="fr-CA"/>
        </w:rPr>
        <w:t>doivent être transmis avec la demande (voir la section 4.</w:t>
      </w:r>
      <w:r w:rsidR="00913B14" w:rsidRPr="002C4432">
        <w:rPr>
          <w:lang w:val="fr-CA" w:eastAsia="fr-CA"/>
        </w:rPr>
        <w:t>2</w:t>
      </w:r>
      <w:r w:rsidR="00A21E60" w:rsidRPr="002C4432">
        <w:rPr>
          <w:lang w:val="fr-CA" w:eastAsia="fr-CA"/>
        </w:rPr>
        <w:t xml:space="preserve">.4). Si une telle exception est demandée, il est recommandé </w:t>
      </w:r>
      <w:r w:rsidR="00946FFC" w:rsidRPr="002C4432">
        <w:rPr>
          <w:lang w:val="fr-CA" w:eastAsia="fr-CA"/>
        </w:rPr>
        <w:t>de contacter</w:t>
      </w:r>
      <w:r w:rsidR="00A21E60" w:rsidRPr="002C4432">
        <w:rPr>
          <w:lang w:val="fr-CA" w:eastAsia="fr-CA"/>
        </w:rPr>
        <w:t xml:space="preserve"> la personne responsable du programme avant de transmettre le formulaire de demande. Le Fonds se réserve le droit de refuser toute demande d’application des mesures d’exception insuffisamment justifiée.</w:t>
      </w:r>
    </w:p>
    <w:p w14:paraId="3A2D687C" w14:textId="0BCCE936" w:rsidR="008A1531" w:rsidRPr="00F9389E" w:rsidRDefault="00BE61D9" w:rsidP="00F9389E">
      <w:pPr>
        <w:pStyle w:val="Titre3"/>
      </w:pPr>
      <w:bookmarkStart w:id="24" w:name="_Toc233714302"/>
      <w:r w:rsidRPr="00010BAF">
        <w:t>Restrictions</w:t>
      </w:r>
      <w:bookmarkEnd w:id="24"/>
    </w:p>
    <w:p w14:paraId="5095548D" w14:textId="6C34C88B" w:rsidR="00A9614C" w:rsidRPr="002C4432" w:rsidRDefault="00BE61D9" w:rsidP="009176DD">
      <w:r w:rsidRPr="002C4432">
        <w:t>Au cours d’une même année, il n’est possible de déposer qu’</w:t>
      </w:r>
      <w:r w:rsidRPr="00E36C80">
        <w:t>une</w:t>
      </w:r>
      <w:r w:rsidRPr="002C4432">
        <w:t xml:space="preserve"> </w:t>
      </w:r>
      <w:r w:rsidRPr="00E36C80">
        <w:t>seule demande de bourse</w:t>
      </w:r>
      <w:r w:rsidRPr="00E36C80" w:rsidDel="00702C07">
        <w:t xml:space="preserve"> </w:t>
      </w:r>
      <w:r w:rsidR="00AA6F34" w:rsidRPr="00E36C80">
        <w:rPr>
          <w:bCs/>
        </w:rPr>
        <w:t>à l’un des programmes suivants</w:t>
      </w:r>
      <w:r w:rsidR="00E72970" w:rsidRPr="00E36C80">
        <w:rPr>
          <w:lang w:eastAsia="fr-CA"/>
        </w:rPr>
        <w:t>, quel que soit le secteur ciblé</w:t>
      </w:r>
      <w:r w:rsidR="009D1EE2">
        <w:rPr>
          <w:bCs/>
          <w:lang w:eastAsia="fr-CA"/>
        </w:rPr>
        <w:t>:</w:t>
      </w:r>
    </w:p>
    <w:p w14:paraId="17E356F6" w14:textId="77777777" w:rsidR="00311F22" w:rsidRPr="009176DD" w:rsidRDefault="00311F22" w:rsidP="009176DD">
      <w:pPr>
        <w:pStyle w:val="Paragraphedeliste"/>
        <w:numPr>
          <w:ilvl w:val="0"/>
          <w:numId w:val="34"/>
        </w:numPr>
        <w:rPr>
          <w:rFonts w:eastAsia="Times New Roman"/>
          <w:color w:val="000000" w:themeColor="text1"/>
          <w:lang w:eastAsia="fr-CA"/>
        </w:rPr>
      </w:pPr>
      <w:r w:rsidRPr="009176DD">
        <w:rPr>
          <w:rFonts w:eastAsia="Times New Roman"/>
          <w:color w:val="000000" w:themeColor="text1"/>
          <w:lang w:eastAsia="fr-CA"/>
        </w:rPr>
        <w:t>Bourses de maîtrise en recherche (B1)</w:t>
      </w:r>
    </w:p>
    <w:p w14:paraId="078BCB7A" w14:textId="77777777" w:rsidR="00311F22" w:rsidRPr="009176DD" w:rsidRDefault="00311F22" w:rsidP="009176DD">
      <w:pPr>
        <w:pStyle w:val="Paragraphedeliste"/>
        <w:numPr>
          <w:ilvl w:val="0"/>
          <w:numId w:val="34"/>
        </w:numPr>
        <w:rPr>
          <w:rFonts w:eastAsia="Times New Roman"/>
          <w:color w:val="000000" w:themeColor="text1"/>
          <w:lang w:eastAsia="fr-CA"/>
        </w:rPr>
      </w:pPr>
      <w:r w:rsidRPr="009176DD">
        <w:rPr>
          <w:rFonts w:eastAsia="Times New Roman"/>
          <w:color w:val="000000" w:themeColor="text1"/>
          <w:lang w:eastAsia="fr-CA"/>
        </w:rPr>
        <w:t>Bourses de maîtrise en recherche pour les étudiants en médecine (B1M)</w:t>
      </w:r>
    </w:p>
    <w:p w14:paraId="1909ABF7" w14:textId="77777777" w:rsidR="00311F22" w:rsidRPr="009176DD" w:rsidRDefault="00311F22" w:rsidP="009176DD">
      <w:pPr>
        <w:pStyle w:val="Paragraphedeliste"/>
        <w:numPr>
          <w:ilvl w:val="0"/>
          <w:numId w:val="34"/>
        </w:numPr>
        <w:rPr>
          <w:rFonts w:eastAsia="Times New Roman"/>
          <w:color w:val="000000" w:themeColor="text1"/>
          <w:lang w:eastAsia="fr-CA"/>
        </w:rPr>
      </w:pPr>
      <w:r w:rsidRPr="009176DD">
        <w:rPr>
          <w:rFonts w:eastAsia="Times New Roman"/>
          <w:color w:val="000000" w:themeColor="text1"/>
          <w:lang w:eastAsia="fr-CA"/>
        </w:rPr>
        <w:t>Bourses de maîtrise en recherche pour les personnes détenant un diplôme professionnel en santé (B1DP)</w:t>
      </w:r>
    </w:p>
    <w:p w14:paraId="3D1EECB2" w14:textId="77777777" w:rsidR="00311F22" w:rsidRPr="009176DD" w:rsidRDefault="00311F22" w:rsidP="009176DD">
      <w:pPr>
        <w:pStyle w:val="Paragraphedeliste"/>
        <w:numPr>
          <w:ilvl w:val="0"/>
          <w:numId w:val="34"/>
        </w:numPr>
        <w:rPr>
          <w:rFonts w:eastAsia="Times New Roman"/>
          <w:color w:val="000000" w:themeColor="text1"/>
          <w:lang w:eastAsia="fr-CA"/>
        </w:rPr>
      </w:pPr>
      <w:r w:rsidRPr="009176DD">
        <w:rPr>
          <w:rFonts w:eastAsia="Times New Roman"/>
          <w:color w:val="000000" w:themeColor="text1"/>
          <w:lang w:eastAsia="fr-CA"/>
        </w:rPr>
        <w:t>Bourses de doctorat en recherche (B2)</w:t>
      </w:r>
    </w:p>
    <w:p w14:paraId="666B396F" w14:textId="77777777" w:rsidR="00311F22" w:rsidRPr="009176DD" w:rsidRDefault="00311F22" w:rsidP="009176DD">
      <w:pPr>
        <w:pStyle w:val="Paragraphedeliste"/>
        <w:numPr>
          <w:ilvl w:val="0"/>
          <w:numId w:val="34"/>
        </w:numPr>
        <w:rPr>
          <w:rFonts w:eastAsia="Times New Roman"/>
          <w:color w:val="000000" w:themeColor="text1"/>
          <w:lang w:eastAsia="fr-CA"/>
        </w:rPr>
      </w:pPr>
      <w:r w:rsidRPr="009176DD">
        <w:rPr>
          <w:rFonts w:eastAsia="Times New Roman"/>
          <w:color w:val="000000" w:themeColor="text1"/>
          <w:lang w:eastAsia="fr-CA"/>
        </w:rPr>
        <w:lastRenderedPageBreak/>
        <w:t>Bourses de doctorat en recherche pour les étudiants en médecine (B2M)</w:t>
      </w:r>
    </w:p>
    <w:p w14:paraId="3A87502F" w14:textId="77777777" w:rsidR="00311F22" w:rsidRPr="009176DD" w:rsidRDefault="00311F22" w:rsidP="009176DD">
      <w:pPr>
        <w:pStyle w:val="Paragraphedeliste"/>
        <w:numPr>
          <w:ilvl w:val="0"/>
          <w:numId w:val="34"/>
        </w:numPr>
        <w:rPr>
          <w:rFonts w:eastAsia="Times New Roman"/>
          <w:color w:val="000000" w:themeColor="text1"/>
          <w:lang w:eastAsia="fr-CA"/>
        </w:rPr>
      </w:pPr>
      <w:r w:rsidRPr="009176DD">
        <w:rPr>
          <w:rFonts w:eastAsia="Times New Roman"/>
          <w:color w:val="000000" w:themeColor="text1"/>
          <w:lang w:eastAsia="fr-CA"/>
        </w:rPr>
        <w:t>Bourses de doctorat en recherche pour les personnes détenant un diplôme professionnel en santé (B2DP)</w:t>
      </w:r>
    </w:p>
    <w:p w14:paraId="6F7B6795" w14:textId="77777777" w:rsidR="00311F22" w:rsidRPr="009176DD" w:rsidRDefault="00311F22" w:rsidP="009176DD">
      <w:pPr>
        <w:pStyle w:val="Paragraphedeliste"/>
        <w:numPr>
          <w:ilvl w:val="0"/>
          <w:numId w:val="34"/>
        </w:numPr>
        <w:rPr>
          <w:rFonts w:eastAsia="Times New Roman"/>
          <w:color w:val="000000" w:themeColor="text1"/>
          <w:lang w:eastAsia="fr-CA"/>
        </w:rPr>
      </w:pPr>
      <w:r w:rsidRPr="009176DD">
        <w:rPr>
          <w:rFonts w:eastAsia="Times New Roman"/>
          <w:color w:val="000000" w:themeColor="text1"/>
          <w:lang w:eastAsia="fr-CA"/>
        </w:rPr>
        <w:t>Bourses postdoctorales (B3)</w:t>
      </w:r>
    </w:p>
    <w:p w14:paraId="6C41B570" w14:textId="77777777" w:rsidR="00311F22" w:rsidRPr="009176DD" w:rsidRDefault="00311F22" w:rsidP="009176DD">
      <w:pPr>
        <w:pStyle w:val="Paragraphedeliste"/>
        <w:numPr>
          <w:ilvl w:val="0"/>
          <w:numId w:val="34"/>
        </w:numPr>
        <w:rPr>
          <w:rFonts w:eastAsia="Times New Roman"/>
          <w:color w:val="000000" w:themeColor="text1"/>
          <w:lang w:eastAsia="fr-CA"/>
        </w:rPr>
      </w:pPr>
      <w:r w:rsidRPr="009176DD">
        <w:rPr>
          <w:rFonts w:eastAsia="Times New Roman"/>
          <w:color w:val="000000" w:themeColor="text1"/>
          <w:lang w:eastAsia="fr-CA"/>
        </w:rPr>
        <w:t>Bourses postdoctorales en recherche-création (B5)</w:t>
      </w:r>
    </w:p>
    <w:p w14:paraId="552D2A69" w14:textId="2F1647DD" w:rsidR="00BE61D9" w:rsidRPr="002C4432" w:rsidRDefault="00BE61D9" w:rsidP="009176DD">
      <w:r w:rsidRPr="002C4432">
        <w:t xml:space="preserve">Conformément à l’article 3.1 des RGC, </w:t>
      </w:r>
      <w:r w:rsidR="00862A4F" w:rsidRPr="002C4432">
        <w:t>il n'est pas possible de cumuler plusieurs bourses de formation du FRQ</w:t>
      </w:r>
      <w:r w:rsidRPr="002C4432">
        <w:t xml:space="preserve">. </w:t>
      </w:r>
    </w:p>
    <w:p w14:paraId="40C0E4F2" w14:textId="3FFE5CA1" w:rsidR="00BE61D9" w:rsidRPr="002C4432" w:rsidRDefault="00BE61D9" w:rsidP="009176DD">
      <w:r w:rsidRPr="002C4432">
        <w:t>Une personne qui a bénéficié ou qui bénéficie d’une bourse postdoctorale d’un organisme subventionnaire québécois ou canadien (par exemple</w:t>
      </w:r>
      <w:r w:rsidR="009D1EE2">
        <w:t>:</w:t>
      </w:r>
      <w:r w:rsidRPr="002C4432">
        <w:t xml:space="preserve"> CRSH, CRSNG, IRSC, FRQ) n’est pas admissible au présent concours.</w:t>
      </w:r>
    </w:p>
    <w:p w14:paraId="431BF9D8" w14:textId="77777777" w:rsidR="00BE61D9" w:rsidRPr="002C4432" w:rsidRDefault="00BE61D9" w:rsidP="009176DD">
      <w:r w:rsidRPr="002C4432">
        <w:t xml:space="preserve">Conformément à l’article 2.2 des RGC, une personne qui occupe un poste universitaire régulier de professeure ou de professeur n’est pas admissible. </w:t>
      </w:r>
    </w:p>
    <w:p w14:paraId="41E7344A" w14:textId="5D8343D5" w:rsidR="008A1531" w:rsidRPr="00010BAF" w:rsidRDefault="00BE61D9" w:rsidP="00F9389E">
      <w:pPr>
        <w:pStyle w:val="Titre3"/>
      </w:pPr>
      <w:bookmarkStart w:id="25" w:name="_Toc233714303"/>
      <w:r w:rsidRPr="00010BAF">
        <w:t>Conditions pour l’utilisation de la bourse à l’extérieur du Québec</w:t>
      </w:r>
      <w:bookmarkEnd w:id="25"/>
      <w:r w:rsidRPr="00010BAF">
        <w:t xml:space="preserve"> </w:t>
      </w:r>
    </w:p>
    <w:p w14:paraId="234CBCD2" w14:textId="23AB4A28" w:rsidR="00BE61D9" w:rsidRPr="002C4432" w:rsidRDefault="00BE61D9" w:rsidP="009176DD">
      <w:r w:rsidRPr="002C4432">
        <w:t>Conformément à l’article 2.1 des RGC, pour utiliser une bourse de formation à l’extérieur du Québec, la personne candidate doit avoir</w:t>
      </w:r>
      <w:r w:rsidR="009D1EE2">
        <w:t>:</w:t>
      </w:r>
      <w:r w:rsidRPr="002C4432">
        <w:t xml:space="preserve"> </w:t>
      </w:r>
    </w:p>
    <w:p w14:paraId="2CDC9245" w14:textId="7C0F70F2" w:rsidR="00BE61D9" w:rsidRPr="002C4432" w:rsidRDefault="00BE61D9" w:rsidP="009176DD">
      <w:pPr>
        <w:pStyle w:val="Paragraphedeliste"/>
        <w:numPr>
          <w:ilvl w:val="0"/>
          <w:numId w:val="35"/>
        </w:numPr>
      </w:pPr>
      <w:r w:rsidRPr="002C4432">
        <w:t xml:space="preserve">la citoyenneté canadienne ou la résidence permanente canadienne, </w:t>
      </w:r>
      <w:r w:rsidR="002A1F51" w:rsidRPr="00F9389E">
        <w:rPr>
          <w:b/>
          <w:bCs/>
        </w:rPr>
        <w:t>et</w:t>
      </w:r>
    </w:p>
    <w:p w14:paraId="24E4301E" w14:textId="7F82AEA5" w:rsidR="00BE61D9" w:rsidRPr="002C4432" w:rsidRDefault="00BE61D9" w:rsidP="009176DD">
      <w:pPr>
        <w:pStyle w:val="Paragraphedeliste"/>
        <w:numPr>
          <w:ilvl w:val="0"/>
          <w:numId w:val="35"/>
        </w:numPr>
      </w:pPr>
      <w:r w:rsidRPr="002C4432">
        <w:t>une carte de la Régie de l’assurance maladie du Québec (RAMQ) valide à la date limite du concours</w:t>
      </w:r>
      <w:r w:rsidR="00070024" w:rsidRPr="002C4432">
        <w:t>,</w:t>
      </w:r>
      <w:r w:rsidRPr="002C4432">
        <w:t xml:space="preserve"> ou une preuve attestant qu’une carte a été demandée à la RAMQ et qu’elle sera valide à la date limite du concours</w:t>
      </w:r>
      <w:r w:rsidR="00070024" w:rsidRPr="002C4432">
        <w:t>, ou si elle est en processus de renouvellement de sa carte RAMQ à la date limite du concours, une preuve qu’une nouvelle carte a été demandée à la RAMQ et une copie de sa carte échue</w:t>
      </w:r>
      <w:r w:rsidRPr="002C4432">
        <w:t>.</w:t>
      </w:r>
    </w:p>
    <w:p w14:paraId="0A5204EE" w14:textId="77777777" w:rsidR="003F2D04" w:rsidRPr="00F9389E" w:rsidRDefault="003F2D04" w:rsidP="009176DD">
      <w:r w:rsidRPr="00F9389E">
        <w:t>{Page 6}</w:t>
      </w:r>
    </w:p>
    <w:p w14:paraId="3B206CD7" w14:textId="68F7ED28" w:rsidR="002613FA" w:rsidRDefault="5183A311" w:rsidP="009176DD">
      <w:r w:rsidRPr="002C4432">
        <w:rPr>
          <w:b/>
          <w:bCs/>
        </w:rPr>
        <w:t>Si l’une ou l’autre ou les deux conditions ci-dessus ne sont pas remplies, la personne candidate doit faire son stage postdoctoral au Québec</w:t>
      </w:r>
      <w:r w:rsidR="00552FDF" w:rsidRPr="00552FDF">
        <w:rPr>
          <w:b/>
          <w:bCs/>
        </w:rPr>
        <w:t xml:space="preserve"> et, par conséquent, indiquer un milieu de stage au Québec dans son formulaire de demande</w:t>
      </w:r>
      <w:r w:rsidRPr="002C4432">
        <w:rPr>
          <w:b/>
          <w:bCs/>
        </w:rPr>
        <w:t>.</w:t>
      </w:r>
      <w:r w:rsidR="00FF458A" w:rsidRPr="00FF458A">
        <w:rPr>
          <w:b/>
          <w:bCs/>
        </w:rPr>
        <w:t xml:space="preserve"> Cela vaut aussi bien pour la supervision que pour la cosupervision, le cas échéant.</w:t>
      </w:r>
      <w:r w:rsidRPr="002C4432">
        <w:t xml:space="preserve"> Une présence physique continue au Québec est alors exigée </w:t>
      </w:r>
      <w:r w:rsidRPr="002C4432">
        <w:lastRenderedPageBreak/>
        <w:t xml:space="preserve">pendant toute la durée du financement, excluant les périodes de relâche prévues au calendrier universitaire. </w:t>
      </w:r>
    </w:p>
    <w:p w14:paraId="53AAF5C3" w14:textId="02D602F4" w:rsidR="006718EB" w:rsidRPr="002C4432" w:rsidRDefault="5183A311" w:rsidP="009176DD">
      <w:r w:rsidRPr="002C4432">
        <w:t xml:space="preserve">Toutefois, </w:t>
      </w:r>
      <w:r w:rsidR="002613FA" w:rsidRPr="002613FA">
        <w:t xml:space="preserve">en cas d’octroi, </w:t>
      </w:r>
      <w:r w:rsidRPr="002C4432">
        <w:t xml:space="preserve">un déplacement à l’extérieur du Québec </w:t>
      </w:r>
      <w:r w:rsidR="1B05EAE2" w:rsidRPr="002C4432">
        <w:t xml:space="preserve">peut être autorisé, s’il est </w:t>
      </w:r>
      <w:r w:rsidRPr="002C4432">
        <w:t xml:space="preserve">jugé </w:t>
      </w:r>
      <w:r w:rsidR="536760A8" w:rsidRPr="002C4432">
        <w:t>essentiel au</w:t>
      </w:r>
      <w:r w:rsidRPr="002C4432">
        <w:t xml:space="preserve"> bon déploiement des activités reliées au stage postdoctoral et qu’il n’excède pas 180 jours par année</w:t>
      </w:r>
      <w:r w:rsidR="1118FBF8" w:rsidRPr="002C4432">
        <w:t xml:space="preserve"> ou </w:t>
      </w:r>
      <w:r w:rsidR="25ED3338" w:rsidRPr="002C4432">
        <w:t xml:space="preserve">180 jours </w:t>
      </w:r>
      <w:r w:rsidR="1118FBF8" w:rsidRPr="002C4432">
        <w:t>consécutifs</w:t>
      </w:r>
      <w:r w:rsidRPr="002C4432">
        <w:t xml:space="preserve">. </w:t>
      </w:r>
      <w:r w:rsidR="7FF01D60" w:rsidRPr="002C4432">
        <w:t xml:space="preserve">Pour se prévaloir de cette disposition, </w:t>
      </w:r>
      <w:r w:rsidR="396889FE" w:rsidRPr="002C4432">
        <w:t xml:space="preserve">la personne </w:t>
      </w:r>
      <w:r w:rsidR="7985D1AB" w:rsidRPr="002C4432">
        <w:t>titulaire de la bourse</w:t>
      </w:r>
      <w:r w:rsidR="7FF01D60" w:rsidRPr="002C4432">
        <w:t xml:space="preserve"> doit </w:t>
      </w:r>
      <w:r w:rsidR="69F09F4A" w:rsidRPr="002C4432">
        <w:t>soumettre au FRQ</w:t>
      </w:r>
      <w:r w:rsidR="7FF01D60" w:rsidRPr="002C4432">
        <w:t xml:space="preserve"> une </w:t>
      </w:r>
      <w:hyperlink r:id="rId21">
        <w:r w:rsidR="001C099C">
          <w:rPr>
            <w:rStyle w:val="Lienhypertexte"/>
            <w:rFonts w:cs="Arial"/>
          </w:rPr>
          <w:t>demande d’autorisation pour séjour hors Québec</w:t>
        </w:r>
      </w:hyperlink>
      <w:r w:rsidR="7FF01D60" w:rsidRPr="002C4432">
        <w:t xml:space="preserve"> </w:t>
      </w:r>
      <w:r w:rsidR="69F09F4A" w:rsidRPr="002C4432">
        <w:t>endossée</w:t>
      </w:r>
      <w:r w:rsidR="7FF01D60" w:rsidRPr="002C4432">
        <w:t xml:space="preserve"> par la superviseure ou le superviseur</w:t>
      </w:r>
      <w:r w:rsidR="396889FE" w:rsidRPr="002C4432">
        <w:t xml:space="preserve"> de la recherche</w:t>
      </w:r>
      <w:r w:rsidR="1118FBF8" w:rsidRPr="002C4432">
        <w:t>, pour approbation</w:t>
      </w:r>
      <w:r w:rsidR="396889FE" w:rsidRPr="002C4432">
        <w:t>.</w:t>
      </w:r>
    </w:p>
    <w:p w14:paraId="400084C6" w14:textId="02ECBDF3" w:rsidR="00BE61D9" w:rsidRPr="002C4432" w:rsidRDefault="00BE61D9" w:rsidP="009176DD">
      <w:pPr>
        <w:rPr>
          <w:b/>
          <w:bCs/>
        </w:rPr>
      </w:pPr>
      <w:r w:rsidRPr="002C4432">
        <w:rPr>
          <w:b/>
          <w:bCs/>
        </w:rPr>
        <w:t xml:space="preserve">La personne candidate qui n’est pas admissible à utiliser </w:t>
      </w:r>
      <w:r w:rsidR="00DA2F7E">
        <w:rPr>
          <w:b/>
          <w:bCs/>
        </w:rPr>
        <w:t>la</w:t>
      </w:r>
      <w:r w:rsidR="00DA2F7E" w:rsidRPr="002C4432">
        <w:rPr>
          <w:b/>
          <w:bCs/>
        </w:rPr>
        <w:t xml:space="preserve"> </w:t>
      </w:r>
      <w:r w:rsidRPr="002C4432">
        <w:rPr>
          <w:b/>
          <w:bCs/>
        </w:rPr>
        <w:t>bourse postdoctorale à l’extérieur du Québec</w:t>
      </w:r>
      <w:r w:rsidR="00DA2F7E" w:rsidRPr="00DA2F7E">
        <w:rPr>
          <w:b/>
          <w:bCs/>
        </w:rPr>
        <w:t>, sur la base des renseignements et des documents transmis dans la demande,</w:t>
      </w:r>
      <w:r w:rsidRPr="002C4432">
        <w:rPr>
          <w:b/>
          <w:bCs/>
        </w:rPr>
        <w:t xml:space="preserve"> ne pourra y prétendre en cours d’octroi, et ce, même si son statut de citoyenneté </w:t>
      </w:r>
      <w:r w:rsidR="00E87B0C" w:rsidRPr="002C4432">
        <w:rPr>
          <w:b/>
          <w:bCs/>
        </w:rPr>
        <w:t xml:space="preserve">ou de résidence </w:t>
      </w:r>
      <w:r w:rsidRPr="002C4432">
        <w:rPr>
          <w:b/>
          <w:bCs/>
        </w:rPr>
        <w:t>change au cours de la période d’octroi.</w:t>
      </w:r>
    </w:p>
    <w:p w14:paraId="6EF284EE" w14:textId="7F0C3045" w:rsidR="00BE61D9" w:rsidRPr="00010BAF" w:rsidRDefault="00BE61D9" w:rsidP="00F9389E">
      <w:pPr>
        <w:pStyle w:val="Titre3"/>
      </w:pPr>
      <w:bookmarkStart w:id="26" w:name="_Toc233714304"/>
      <w:r w:rsidRPr="00010BAF">
        <w:t>Choix du ou des milieux d’accueil</w:t>
      </w:r>
      <w:bookmarkEnd w:id="26"/>
    </w:p>
    <w:p w14:paraId="68E298F7" w14:textId="3A073F43" w:rsidR="00BE61D9" w:rsidRPr="002C4432" w:rsidRDefault="00BE61D9" w:rsidP="009176DD">
      <w:r w:rsidRPr="002C4432">
        <w:t xml:space="preserve">Le ou les milieux d’accueil projetés doivent permettre à la personne candidate d’intégrer de nouveaux réseaux afin d’approfondir ses perspectives de recherche et de développer des collaborations dans un environnement scientifique de qualité. Le Fonds encourage la mobilité, que ce soit au Québec, hors Québec ou à l’international, lorsque les conditions d’admissibilité du programme le permettent. </w:t>
      </w:r>
    </w:p>
    <w:p w14:paraId="58133B55" w14:textId="77777777" w:rsidR="00BE61D9" w:rsidRPr="002C4432" w:rsidRDefault="00BE61D9" w:rsidP="009176DD">
      <w:pPr>
        <w:rPr>
          <w:b/>
          <w:bCs/>
        </w:rPr>
      </w:pPr>
      <w:r w:rsidRPr="002C4432">
        <w:rPr>
          <w:b/>
          <w:bCs/>
        </w:rPr>
        <w:t xml:space="preserve">Le milieu de supervision doit être un autre établissement universitaire que celui qui a décerné le diplôme de doctorat ou qui a servi de lieu de codirection ou de cotutelle de la recherche doctorale, le cas échéant. </w:t>
      </w:r>
    </w:p>
    <w:p w14:paraId="74D81287" w14:textId="77777777" w:rsidR="00BE61D9" w:rsidRDefault="00BE61D9" w:rsidP="009176DD">
      <w:r w:rsidRPr="002C4432">
        <w:t>Le milieu accueillant la cosupervision peut être une université, un établissement de services affilié à une université, une entreprise, un organisme des secteurs public, parapublic, communautaire, privé ou de pratique, ou tout autre milieu jugé pertinent. De plus, là encore, il doit s’agir d’</w:t>
      </w:r>
      <w:r w:rsidRPr="002C4432">
        <w:rPr>
          <w:b/>
        </w:rPr>
        <w:t>un autre établissement</w:t>
      </w:r>
      <w:r w:rsidRPr="002C4432">
        <w:t xml:space="preserve"> que celui qui a décerné le doctorat ou qui a servi de lieu de codirection ou de cotutelle de la recherche doctorale, le cas échéant.</w:t>
      </w:r>
    </w:p>
    <w:p w14:paraId="515994E5" w14:textId="77777777" w:rsidR="000A79D7" w:rsidRPr="005612EA" w:rsidRDefault="000A79D7" w:rsidP="000A79D7">
      <w:r>
        <w:t>{Page 7}</w:t>
      </w:r>
    </w:p>
    <w:p w14:paraId="204BBF67" w14:textId="6AC692A5" w:rsidR="00BE61D9" w:rsidRPr="002C4432" w:rsidRDefault="00BE61D9" w:rsidP="009176DD">
      <w:r w:rsidRPr="002C4432">
        <w:rPr>
          <w:b/>
          <w:bCs/>
        </w:rPr>
        <w:t xml:space="preserve">La personne candidate doit prévoir être présente dans le milieu de supervision ou de cosupervision pendant toute la durée du stage. </w:t>
      </w:r>
      <w:r w:rsidRPr="002C4432">
        <w:t xml:space="preserve">Toutefois, les terrains de recherche ou les séjours de collectes de données sont permis, sous réserve des conditions d’admissibilité pour l’utilisation de la bourse à l’extérieur du Québec. Lorsque les terrains de recherche ou les séjours de collectes de données excèdent </w:t>
      </w:r>
      <w:r w:rsidRPr="002C4432">
        <w:lastRenderedPageBreak/>
        <w:t>une période de six mois, une cosupervision doit être formalisée dans la demande (voir la section 4.</w:t>
      </w:r>
      <w:r w:rsidR="007A151D" w:rsidRPr="002C4432">
        <w:t>3</w:t>
      </w:r>
      <w:r w:rsidRPr="002C4432">
        <w:t xml:space="preserve">). </w:t>
      </w:r>
    </w:p>
    <w:p w14:paraId="14FA9DB9" w14:textId="11EEF6B1" w:rsidR="00BE61D9" w:rsidRPr="002C4432" w:rsidRDefault="00BE61D9" w:rsidP="009176DD">
      <w:pPr>
        <w:rPr>
          <w:b/>
          <w:bCs/>
        </w:rPr>
      </w:pPr>
      <w:r w:rsidRPr="002C4432">
        <w:rPr>
          <w:b/>
          <w:bCs/>
        </w:rPr>
        <w:t>Mesure d’exception</w:t>
      </w:r>
      <w:r w:rsidR="009D1EE2">
        <w:rPr>
          <w:b/>
          <w:bCs/>
        </w:rPr>
        <w:t>:</w:t>
      </w:r>
      <w:r w:rsidRPr="002C4432">
        <w:rPr>
          <w:b/>
          <w:bCs/>
        </w:rPr>
        <w:t xml:space="preserve"> </w:t>
      </w:r>
    </w:p>
    <w:p w14:paraId="6D818ABC" w14:textId="062CA388" w:rsidR="00BE61D9" w:rsidRPr="002C4432" w:rsidRDefault="00BE61D9" w:rsidP="009176DD">
      <w:r w:rsidRPr="002C4432">
        <w:t>Si la personne candidate démontre que sa mobilité est restreinte de manière exceptionnelle pour des raisons médicales ou en raison d’un handicap ou d’obligations familiales majeures, la recherche pourrait être effectuée dans l'établissement qui a décerné le diplôme de doctorat. La demande d’exception ainsi que les documents justificatifs doivent être transmis avec la demande (voir la section 4.</w:t>
      </w:r>
      <w:r w:rsidR="007A151D" w:rsidRPr="002C4432">
        <w:t>2</w:t>
      </w:r>
      <w:r w:rsidRPr="002C4432">
        <w:t xml:space="preserve">.4). Si une telle exception est demandée, il est recommandé </w:t>
      </w:r>
      <w:r w:rsidR="0012399A" w:rsidRPr="002C4432">
        <w:t>de contacter</w:t>
      </w:r>
      <w:r w:rsidRPr="002C4432">
        <w:t xml:space="preserve"> la personne responsable du programme avant de transmettre le formulaire de demande. Le Fonds se réserve le droit de refuser toute demande d’application des mesures d’exception insuffisamment justifiée.  </w:t>
      </w:r>
    </w:p>
    <w:p w14:paraId="1DB447E8" w14:textId="6B08A08F" w:rsidR="00BE61D9" w:rsidRPr="00010BAF" w:rsidRDefault="00BE61D9" w:rsidP="00F9389E">
      <w:pPr>
        <w:pStyle w:val="Titre3"/>
      </w:pPr>
      <w:bookmarkStart w:id="27" w:name="_Toc233714305"/>
      <w:r w:rsidRPr="00010BAF">
        <w:t>Supervision et cosupervision</w:t>
      </w:r>
      <w:bookmarkEnd w:id="27"/>
    </w:p>
    <w:p w14:paraId="283761A1" w14:textId="2D7100C3" w:rsidR="00BE61D9" w:rsidRPr="002C4432" w:rsidRDefault="00BE61D9" w:rsidP="009176DD">
      <w:r w:rsidRPr="002C4432">
        <w:t>La supervision du stage doit être assurée par une personne dont le poste ou l’affiliation universitaire lui permet de diriger seule des étudiants et étudiantes aux cycles supérieurs et des projets de recherche de manière autonome.</w:t>
      </w:r>
    </w:p>
    <w:p w14:paraId="6FA928DD" w14:textId="77777777" w:rsidR="00BE61D9" w:rsidRPr="002C4432" w:rsidRDefault="00BE61D9" w:rsidP="009176DD">
      <w:r w:rsidRPr="002C4432">
        <w:t xml:space="preserve">Le stage postdoctoral peut également se dérouler en cosupervision. Le cas échéant, la personne candidate doit l’indiquer dans son formulaire de demande. La cosupervision doit être assurée par une personne qui occupe un poste régulier dans une université ou un poste rémunéré à temps plein dans un établissement de services affilié à une université, une entreprise, un organisme des secteurs public, parapublic, communautaire, privé ou de pratique, ou tout autre milieu jugé pertinent. Son expertise doit être considérée comme pertinente pour la réalisation du stage postdoctoral. </w:t>
      </w:r>
    </w:p>
    <w:p w14:paraId="47919C26" w14:textId="77777777" w:rsidR="00BE61D9" w:rsidRPr="002C4432" w:rsidRDefault="00BE61D9" w:rsidP="009176DD">
      <w:pPr>
        <w:rPr>
          <w:b/>
          <w:bCs/>
        </w:rPr>
      </w:pPr>
      <w:r w:rsidRPr="002C4432">
        <w:rPr>
          <w:b/>
          <w:bCs/>
        </w:rPr>
        <w:t xml:space="preserve">De plus, la supervision et la cosupervision ne peuvent pas être assumées par une personne ayant dirigé les recherches doctorales de la personne candidate ou par une personne affiliée à l’établissement au sein duquel la personne candidate a poursuivi ses études doctorales. </w:t>
      </w:r>
    </w:p>
    <w:p w14:paraId="38202D01" w14:textId="77777777" w:rsidR="00BE61D9" w:rsidRPr="002C4432" w:rsidRDefault="00BE61D9" w:rsidP="009176DD">
      <w:r w:rsidRPr="002C4432">
        <w:t xml:space="preserve">La supervision et la cosupervision du stage viennent avec un engagement à adopter une conduite responsable en recherche, à respecter les normes d’éthique et d’intégrité et à encourager la personne candidate à l’égard de son propre engagement en matière d’éthique et de conduite responsable en recherche. </w:t>
      </w:r>
    </w:p>
    <w:p w14:paraId="456B58FA" w14:textId="41BCF8DD" w:rsidR="00BE61D9" w:rsidRPr="002C4432" w:rsidRDefault="00BE61D9" w:rsidP="009176DD">
      <w:pPr>
        <w:rPr>
          <w:b/>
          <w:bCs/>
        </w:rPr>
      </w:pPr>
      <w:r w:rsidRPr="002C4432">
        <w:rPr>
          <w:b/>
          <w:bCs/>
        </w:rPr>
        <w:t>Mesure d’exception</w:t>
      </w:r>
      <w:r w:rsidR="009D1EE2">
        <w:rPr>
          <w:b/>
          <w:bCs/>
        </w:rPr>
        <w:t>:</w:t>
      </w:r>
      <w:r w:rsidRPr="002C4432">
        <w:rPr>
          <w:b/>
          <w:bCs/>
        </w:rPr>
        <w:t xml:space="preserve"> </w:t>
      </w:r>
    </w:p>
    <w:p w14:paraId="424151F3" w14:textId="2014B78D" w:rsidR="00BE61D9" w:rsidRPr="002C4432" w:rsidRDefault="00BE61D9" w:rsidP="009176DD">
      <w:r w:rsidRPr="002C4432">
        <w:lastRenderedPageBreak/>
        <w:t>Exceptionnellement, la supervision ou la cosupervision du stage postdoctoral pourrait être assumée par une personne ayant dirigé ou codirigé les études doctorales. La personne candidate doit alors démontrer l’impossibilité que le stage soit supervisé ou cosupervisé par une autre personne, notamment en raison d’une mobilité restreinte de manière exceptionnelle pour des raisons médicales ou en raison d’un handicap ou d’obligations familiales majeures. La demande d’exception ainsi que les documents justificatifs doivent être transmis avec la demande (voir la section 4.</w:t>
      </w:r>
      <w:r w:rsidR="00DA6F23" w:rsidRPr="002C4432">
        <w:t>2</w:t>
      </w:r>
      <w:r w:rsidRPr="002C4432">
        <w:t>.4).</w:t>
      </w:r>
      <w:r w:rsidR="006B3604" w:rsidRPr="002C4432">
        <w:t xml:space="preserve"> Si une telle exception est demandée, il est recommandé </w:t>
      </w:r>
      <w:r w:rsidR="00924AEA" w:rsidRPr="002C4432">
        <w:t>de contacter</w:t>
      </w:r>
      <w:r w:rsidR="006B3604" w:rsidRPr="002C4432">
        <w:t xml:space="preserve"> la personne responsable du programme avant de transmettre le formulaire de demande. </w:t>
      </w:r>
      <w:r w:rsidRPr="002C4432">
        <w:t xml:space="preserve">Le Fonds se réserve le droit de refuser toute demande d’application des mesures d’exception insuffisamment justifiée.  </w:t>
      </w:r>
    </w:p>
    <w:p w14:paraId="42AF3AFB" w14:textId="77777777" w:rsidR="000A79D7" w:rsidRPr="005612EA" w:rsidRDefault="000A79D7" w:rsidP="000A79D7">
      <w:bookmarkStart w:id="28" w:name="_Toc202861981"/>
      <w:r>
        <w:t>{Page 8}</w:t>
      </w:r>
    </w:p>
    <w:p w14:paraId="5C7C73BD" w14:textId="338AD671" w:rsidR="009D0B48" w:rsidRPr="00F9389E" w:rsidRDefault="00BE61D9" w:rsidP="00F9389E">
      <w:pPr>
        <w:pStyle w:val="Titre2"/>
      </w:pPr>
      <w:bookmarkStart w:id="29" w:name="_Toc233714306"/>
      <w:r w:rsidRPr="00010BAF">
        <w:t>Demande</w:t>
      </w:r>
      <w:bookmarkEnd w:id="28"/>
      <w:bookmarkEnd w:id="29"/>
      <w:r w:rsidRPr="00010BAF">
        <w:t xml:space="preserve"> </w:t>
      </w:r>
    </w:p>
    <w:p w14:paraId="5EF1BD07" w14:textId="2E0CAD74" w:rsidR="00BE61D9" w:rsidRPr="002C4432" w:rsidRDefault="00BE61D9" w:rsidP="009176DD">
      <w:r w:rsidRPr="002C4432">
        <w:t xml:space="preserve">Le formulaire électronique de demande de bourse postdoctorale est disponible dans </w:t>
      </w:r>
      <w:r w:rsidR="00BE626D" w:rsidRPr="002C4432">
        <w:t xml:space="preserve">l’Espace demande du </w:t>
      </w:r>
      <w:hyperlink r:id="rId22" w:history="1">
        <w:r w:rsidR="2D84C7DA" w:rsidRPr="002C4432">
          <w:rPr>
            <w:rStyle w:val="Lienhypertexte"/>
            <w:rFonts w:cs="Arial"/>
          </w:rPr>
          <w:t>portail FRQnet</w:t>
        </w:r>
      </w:hyperlink>
      <w:r w:rsidRPr="002C4432">
        <w:t xml:space="preserve"> au moins un mois avant la date limite du concours. La personne candidate peut aussi consulter </w:t>
      </w:r>
      <w:r w:rsidR="6E0A850B" w:rsidRPr="002C4432">
        <w:t>le</w:t>
      </w:r>
      <w:r w:rsidR="5C633290" w:rsidRPr="002C4432">
        <w:rPr>
          <w:rFonts w:eastAsia="Times New Roman"/>
          <w:lang w:eastAsia="fr-CA"/>
        </w:rPr>
        <w:t xml:space="preserve">s différents guides à propos de FRQnet disponibles dans l’onglet Documentation situé en haut à droite </w:t>
      </w:r>
      <w:r w:rsidR="252D7ABF" w:rsidRPr="002C4432">
        <w:rPr>
          <w:rFonts w:eastAsia="Times New Roman"/>
          <w:lang w:eastAsia="fr-CA"/>
        </w:rPr>
        <w:t>du</w:t>
      </w:r>
      <w:r w:rsidR="5C633290" w:rsidRPr="002C4432">
        <w:rPr>
          <w:rFonts w:eastAsia="Times New Roman"/>
          <w:lang w:eastAsia="fr-CA"/>
        </w:rPr>
        <w:t xml:space="preserve"> portail FRQnet</w:t>
      </w:r>
      <w:r w:rsidR="00484FA8" w:rsidRPr="00484FA8">
        <w:rPr>
          <w:rFonts w:eastAsia="Times New Roman"/>
          <w:lang w:eastAsia="fr-CA"/>
        </w:rPr>
        <w:t xml:space="preserve"> – voir notamment le </w:t>
      </w:r>
      <w:hyperlink r:id="rId23" w:history="1">
        <w:r w:rsidR="00484FA8" w:rsidRPr="00484FA8">
          <w:rPr>
            <w:rStyle w:val="Lienhypertexte"/>
            <w:rFonts w:eastAsia="Times New Roman"/>
            <w:lang w:eastAsia="fr-CA"/>
          </w:rPr>
          <w:t>Guide d’utilisation du portail FRQnet, à l’attention des personnes candidates aux programmes de financement</w:t>
        </w:r>
      </w:hyperlink>
      <w:r w:rsidRPr="002C4432">
        <w:t xml:space="preserve">.  </w:t>
      </w:r>
    </w:p>
    <w:p w14:paraId="14C174CC" w14:textId="70518996" w:rsidR="00A5703B" w:rsidRPr="002C4432" w:rsidRDefault="00BE61D9" w:rsidP="009176DD">
      <w:r w:rsidRPr="002C4432">
        <w:t>Il est de l’entière responsabilité de la personne candidate de choisir</w:t>
      </w:r>
      <w:r w:rsidR="009D1EE2">
        <w:t>:</w:t>
      </w:r>
      <w:r w:rsidR="00A5703B" w:rsidRPr="002C4432">
        <w:t xml:space="preserve"> </w:t>
      </w:r>
    </w:p>
    <w:p w14:paraId="6BA8DAE9" w14:textId="77777777" w:rsidR="00A5703B" w:rsidRPr="002C4432" w:rsidRDefault="00BE61D9" w:rsidP="009176DD">
      <w:r w:rsidRPr="002C4432">
        <w:t>le bon programme de financement</w:t>
      </w:r>
    </w:p>
    <w:p w14:paraId="0DF9735C" w14:textId="525AC596" w:rsidR="00A5703B" w:rsidRPr="002C4432" w:rsidRDefault="00BE61D9" w:rsidP="009176DD">
      <w:r w:rsidRPr="002C4432">
        <w:t>le bon formulaire</w:t>
      </w:r>
    </w:p>
    <w:p w14:paraId="3D41627C" w14:textId="3B7CB3DC" w:rsidR="00A5703B" w:rsidRPr="002C4432" w:rsidRDefault="00CB6E63" w:rsidP="009176DD">
      <w:r w:rsidRPr="002C4432">
        <w:t>au sein de ce formulaire,</w:t>
      </w:r>
      <w:r w:rsidR="00BE61D9" w:rsidRPr="002C4432">
        <w:t xml:space="preserve"> le </w:t>
      </w:r>
      <w:r w:rsidR="005A154D" w:rsidRPr="002C4432">
        <w:t xml:space="preserve">secteur </w:t>
      </w:r>
      <w:r w:rsidR="00BE61D9" w:rsidRPr="002C4432">
        <w:t>approprié</w:t>
      </w:r>
      <w:r w:rsidR="00BB5A9B" w:rsidRPr="002C4432">
        <w:t xml:space="preserve"> du FRQ</w:t>
      </w:r>
      <w:r w:rsidR="00BE61D9" w:rsidRPr="002C4432">
        <w:t xml:space="preserve">, </w:t>
      </w:r>
      <w:r w:rsidR="65590168" w:rsidRPr="002C4432">
        <w:t xml:space="preserve">ainsi que </w:t>
      </w:r>
      <w:r w:rsidR="589D6F65" w:rsidRPr="002C4432">
        <w:t xml:space="preserve">le comité </w:t>
      </w:r>
      <w:r w:rsidR="00363D65" w:rsidRPr="002C4432">
        <w:t>qu</w:t>
      </w:r>
      <w:r w:rsidR="0071139D" w:rsidRPr="002C4432">
        <w:t>’</w:t>
      </w:r>
      <w:r w:rsidR="00363D65" w:rsidRPr="002C4432">
        <w:t>elle juge pertinent pour l</w:t>
      </w:r>
      <w:r w:rsidR="002A4F70" w:rsidRPr="002C4432">
        <w:t>’</w:t>
      </w:r>
      <w:r w:rsidR="00363D65" w:rsidRPr="002C4432">
        <w:t>évaluation de</w:t>
      </w:r>
      <w:r w:rsidR="589D6F65" w:rsidRPr="002C4432">
        <w:t xml:space="preserve"> sa demande</w:t>
      </w:r>
      <w:r w:rsidR="00BE61D9" w:rsidRPr="002C4432">
        <w:t xml:space="preserve"> </w:t>
      </w:r>
    </w:p>
    <w:p w14:paraId="7AEDA901" w14:textId="7B7A5761" w:rsidR="00BE61D9" w:rsidRPr="002C4432" w:rsidRDefault="00BE61D9" w:rsidP="009176DD">
      <w:r w:rsidRPr="002C4432">
        <w:t>En cas d’erreur, le Fonds ne procèdera à aucun transfert d’un programme</w:t>
      </w:r>
      <w:r w:rsidR="68CF20A6" w:rsidRPr="002C4432">
        <w:t>,</w:t>
      </w:r>
      <w:r w:rsidR="5D6DE517" w:rsidRPr="002C4432">
        <w:t xml:space="preserve"> </w:t>
      </w:r>
      <w:r w:rsidR="7417F3AA" w:rsidRPr="002C4432">
        <w:t xml:space="preserve">d’un formulaire, </w:t>
      </w:r>
      <w:r w:rsidR="781EF9A6" w:rsidRPr="002C4432">
        <w:t>d’un secteur</w:t>
      </w:r>
      <w:r w:rsidR="68CF20A6" w:rsidRPr="002C4432">
        <w:t xml:space="preserve"> </w:t>
      </w:r>
      <w:r w:rsidR="2095A790" w:rsidRPr="002C4432">
        <w:t xml:space="preserve">ou d’un </w:t>
      </w:r>
      <w:r w:rsidR="68CF20A6" w:rsidRPr="002C4432">
        <w:t>comité d’évaluation</w:t>
      </w:r>
      <w:r w:rsidR="6E0A850B" w:rsidRPr="002C4432">
        <w:t xml:space="preserve"> </w:t>
      </w:r>
      <w:r w:rsidRPr="002C4432">
        <w:t xml:space="preserve">vers un autre. </w:t>
      </w:r>
    </w:p>
    <w:p w14:paraId="0A79880C" w14:textId="01F8DA69" w:rsidR="00BE61D9" w:rsidRPr="002C4432" w:rsidRDefault="00BE61D9" w:rsidP="009176DD">
      <w:r w:rsidRPr="002C4432">
        <w:t xml:space="preserve">La personne qui souhaite soumettre une demande doit </w:t>
      </w:r>
      <w:r w:rsidR="00037610" w:rsidRPr="00037610">
        <w:t xml:space="preserve">s’assurer </w:t>
      </w:r>
      <w:r w:rsidRPr="002C4432">
        <w:t xml:space="preserve">d’obtenir tous les documents demandés et </w:t>
      </w:r>
      <w:r w:rsidR="00D16E25" w:rsidRPr="002C4432">
        <w:t xml:space="preserve">de </w:t>
      </w:r>
      <w:r w:rsidRPr="002C4432">
        <w:t xml:space="preserve">transmettre le formulaire dans les délais requis. Elle doit également tenir compte du fort achalandage des demandes de soutien adressées au Fonds en fin de concours, le cas échéant. </w:t>
      </w:r>
    </w:p>
    <w:p w14:paraId="5C7D2D4C" w14:textId="42DF9E19" w:rsidR="00A14EE3" w:rsidRPr="00A14EE3" w:rsidRDefault="00BE61D9" w:rsidP="00A14EE3">
      <w:pPr>
        <w:rPr>
          <w:lang w:val="fr-CA"/>
        </w:rPr>
      </w:pPr>
      <w:r w:rsidRPr="002C4432">
        <w:t xml:space="preserve">Conformément à l’article 3.6 des RGC, le formulaire de demande de financement doit être rempli en français. </w:t>
      </w:r>
      <w:r w:rsidR="00D27156" w:rsidRPr="002C4432">
        <w:t>L</w:t>
      </w:r>
      <w:r w:rsidRPr="002C4432">
        <w:t xml:space="preserve">es documents </w:t>
      </w:r>
      <w:r w:rsidR="00D27156" w:rsidRPr="002C4432">
        <w:t xml:space="preserve">joints </w:t>
      </w:r>
      <w:r w:rsidRPr="002C4432">
        <w:t xml:space="preserve">au formulaire peuvent </w:t>
      </w:r>
      <w:r w:rsidR="00D27156" w:rsidRPr="002C4432">
        <w:t xml:space="preserve">toutefois </w:t>
      </w:r>
      <w:r w:rsidRPr="002C4432">
        <w:t>être rédigés en français ou en anglais</w:t>
      </w:r>
      <w:r w:rsidR="00AD0744" w:rsidRPr="00AD0744">
        <w:t xml:space="preserve">. Afin de veiller à une évaluation équitable pour </w:t>
      </w:r>
      <w:r w:rsidR="00AD0744" w:rsidRPr="00AD0744">
        <w:lastRenderedPageBreak/>
        <w:t>l’ensemble des personnes candidates, les documents joints</w:t>
      </w:r>
      <w:r w:rsidRPr="002C4432">
        <w:t xml:space="preserve"> doivent</w:t>
      </w:r>
      <w:r w:rsidR="003E78B2" w:rsidRPr="003E78B2">
        <w:rPr>
          <w:rFonts w:cs="Arial"/>
        </w:rPr>
        <w:t xml:space="preserve"> </w:t>
      </w:r>
      <w:r w:rsidR="003E78B2" w:rsidRPr="003E78B2">
        <w:t>également</w:t>
      </w:r>
      <w:r w:rsidRPr="002C4432">
        <w:t xml:space="preserve"> respecter les </w:t>
      </w:r>
      <w:hyperlink r:id="rId24">
        <w:r w:rsidR="007879C2" w:rsidRPr="002C4432">
          <w:rPr>
            <w:rStyle w:val="Lienhypertexte"/>
            <w:rFonts w:cs="Arial"/>
            <w:lang w:val="fr-CA"/>
          </w:rPr>
          <w:t>n</w:t>
        </w:r>
        <w:r w:rsidR="004629D6" w:rsidRPr="002C4432">
          <w:rPr>
            <w:rStyle w:val="Lienhypertexte"/>
            <w:rFonts w:cs="Arial"/>
            <w:lang w:val="fr-CA"/>
          </w:rPr>
          <w:t>ormes de présentation des fichiers joints</w:t>
        </w:r>
      </w:hyperlink>
      <w:r w:rsidR="004629D6" w:rsidRPr="002C4432">
        <w:rPr>
          <w:lang w:val="fr-CA"/>
        </w:rPr>
        <w:t xml:space="preserve">. </w:t>
      </w:r>
      <w:r w:rsidR="00A14EE3" w:rsidRPr="00A14EE3">
        <w:rPr>
          <w:lang w:val="fr-CA"/>
        </w:rPr>
        <w:t xml:space="preserve">Le non-respect de ces exigences pourrait entraîner la disqualification de la demande sans préavis. </w:t>
      </w:r>
    </w:p>
    <w:p w14:paraId="028EBDDD" w14:textId="493FB099" w:rsidR="00BE61D9" w:rsidRDefault="00A14EE3" w:rsidP="00A14EE3">
      <w:pPr>
        <w:rPr>
          <w:lang w:val="fr-CA"/>
        </w:rPr>
      </w:pPr>
      <w:r w:rsidRPr="00A14EE3">
        <w:rPr>
          <w:lang w:val="fr-CA"/>
        </w:rPr>
        <w:t>Si un document joint est vide, ou qu’il comprend seulement un code QR ou tout autre type de liens le faisant reposer uniquement sur du contenu consultable en ligne et externe à la demande, il sera considéré comme non recevable et la demande pourra être non admissible. De même, si un document joint ne répond pas aux exigences décrites dans les règles du programme, il sera considéré comme non recevable et la demande pourra être non admissible.</w:t>
      </w:r>
    </w:p>
    <w:p w14:paraId="615CD546" w14:textId="7489B20E" w:rsidR="006B4770" w:rsidRPr="002C4432" w:rsidRDefault="006B4770" w:rsidP="009176DD">
      <w:r>
        <w:t>{Page 9}</w:t>
      </w:r>
    </w:p>
    <w:p w14:paraId="2FD4CC7B" w14:textId="3FB4717C" w:rsidR="00BE61D9" w:rsidRPr="002C4432" w:rsidRDefault="005601C3" w:rsidP="009176DD">
      <w:r w:rsidRPr="002C4432">
        <w:rPr>
          <w:b/>
          <w:bCs/>
        </w:rPr>
        <w:t xml:space="preserve">La personne candidate </w:t>
      </w:r>
      <w:r w:rsidR="00D06B60" w:rsidRPr="002C4432">
        <w:rPr>
          <w:b/>
          <w:bCs/>
        </w:rPr>
        <w:t>est entièrement responsable</w:t>
      </w:r>
      <w:r w:rsidRPr="002C4432">
        <w:rPr>
          <w:b/>
          <w:bCs/>
        </w:rPr>
        <w:t xml:space="preserve"> de son dossier. Celui-ci doit être complet et répondre à chacune des exigences du programme. </w:t>
      </w:r>
      <w:r w:rsidR="00BE61D9" w:rsidRPr="002C4432">
        <w:rPr>
          <w:b/>
          <w:bCs/>
        </w:rPr>
        <w:t>En l’absence de l’un ou l’autre des documents requis, la demande sera non admissible.</w:t>
      </w:r>
      <w:r w:rsidR="00BE61D9" w:rsidRPr="002C4432">
        <w:t xml:space="preserve"> </w:t>
      </w:r>
      <w:r w:rsidR="00A548EC" w:rsidRPr="002C4432">
        <w:t>A</w:t>
      </w:r>
      <w:r w:rsidR="00BE61D9" w:rsidRPr="002C4432">
        <w:t>ucun document reçu après l’heure limite du concours n’est considéré</w:t>
      </w:r>
      <w:r w:rsidR="00822EF2" w:rsidRPr="00822EF2">
        <w:t xml:space="preserve"> et aucune mise à jour de la demande n’est possible</w:t>
      </w:r>
      <w:r w:rsidR="00BE61D9" w:rsidRPr="002C4432">
        <w:t>. Aucun document non exigé n’est soumis au comité d’évaluation.</w:t>
      </w:r>
    </w:p>
    <w:p w14:paraId="46ED0E71" w14:textId="5070AE1A" w:rsidR="00BE61D9" w:rsidRPr="002C4432" w:rsidRDefault="00BE61D9" w:rsidP="009176DD">
      <w:pPr>
        <w:rPr>
          <w:rFonts w:cs="Arial"/>
        </w:rPr>
      </w:pPr>
      <w:r w:rsidRPr="002C4432">
        <w:rPr>
          <w:rFonts w:cs="Arial"/>
        </w:rPr>
        <w:t xml:space="preserve">La transmission d’une demande de financement s’accompagne d’un engagement à lire et respecter les </w:t>
      </w:r>
      <w:hyperlink r:id="rId25" w:history="1">
        <w:r w:rsidRPr="002C4432">
          <w:rPr>
            <w:rStyle w:val="Lienhypertexte"/>
            <w:rFonts w:cs="Arial"/>
          </w:rPr>
          <w:t>normes d’éthique et d’intégrité</w:t>
        </w:r>
      </w:hyperlink>
      <w:r w:rsidRPr="002C4432">
        <w:rPr>
          <w:rFonts w:cs="Arial"/>
        </w:rPr>
        <w:t xml:space="preserve">, la </w:t>
      </w:r>
      <w:hyperlink r:id="rId26" w:history="1">
        <w:r w:rsidR="00020DD0" w:rsidRPr="002C4432">
          <w:rPr>
            <w:rStyle w:val="Lienhypertexte"/>
            <w:rFonts w:cs="Arial"/>
            <w:lang w:val="fr-CA"/>
          </w:rPr>
          <w:t>Politique de diffusion en libre accès</w:t>
        </w:r>
      </w:hyperlink>
      <w:r w:rsidR="00020DD0" w:rsidRPr="002C4432">
        <w:rPr>
          <w:rFonts w:cs="Arial"/>
          <w:lang w:val="fr-CA"/>
        </w:rPr>
        <w:t xml:space="preserve"> et la </w:t>
      </w:r>
      <w:hyperlink r:id="rId27" w:history="1">
        <w:r w:rsidR="00020DD0" w:rsidRPr="002C4432">
          <w:rPr>
            <w:rStyle w:val="Lienhypertexte"/>
            <w:rFonts w:cs="Arial"/>
            <w:lang w:val="fr-CA"/>
          </w:rPr>
          <w:t>Politique sur la conduite responsable en recherche</w:t>
        </w:r>
      </w:hyperlink>
      <w:r w:rsidR="00020DD0" w:rsidRPr="002C4432">
        <w:rPr>
          <w:rFonts w:cs="Arial"/>
          <w:lang w:val="fr-CA"/>
        </w:rPr>
        <w:t>.</w:t>
      </w:r>
    </w:p>
    <w:p w14:paraId="0A77C7F4" w14:textId="0C174E5E" w:rsidR="00DD4C57" w:rsidRPr="00010BAF" w:rsidRDefault="00DD4C57" w:rsidP="00F9389E">
      <w:pPr>
        <w:pStyle w:val="Titre3"/>
      </w:pPr>
      <w:bookmarkStart w:id="30" w:name="_Toc233714307"/>
      <w:r w:rsidRPr="00010BAF">
        <w:t>Choix du secteur et du comité d’évaluation</w:t>
      </w:r>
      <w:bookmarkEnd w:id="30"/>
    </w:p>
    <w:p w14:paraId="2835B0CC" w14:textId="6D4C5A78" w:rsidR="00DD4C57" w:rsidRPr="002C4432" w:rsidRDefault="003863F1" w:rsidP="00C42E96">
      <w:r w:rsidRPr="002C4432">
        <w:t xml:space="preserve">La </w:t>
      </w:r>
      <w:r w:rsidRPr="002C4432">
        <w:rPr>
          <w:kern w:val="36"/>
          <w:lang w:eastAsia="fr-CA"/>
          <w14:ligatures w14:val="none"/>
        </w:rPr>
        <w:t xml:space="preserve">personne candidate choisit le secteur et le comité d’évaluation qui évaluera sa demande. Pour le choix du secteur, elle </w:t>
      </w:r>
      <w:r w:rsidRPr="002C4432">
        <w:rPr>
          <w:lang w:eastAsia="fr-CA"/>
        </w:rPr>
        <w:t xml:space="preserve">doit consulter </w:t>
      </w:r>
      <w:r w:rsidRPr="002C4432">
        <w:t>la liste des domaines de recherche du FRQ (</w:t>
      </w:r>
      <w:hyperlink r:id="rId28" w:history="1">
        <w:r w:rsidRPr="002C4432">
          <w:rPr>
            <w:color w:val="0563C1" w:themeColor="hyperlink"/>
            <w:u w:val="single"/>
          </w:rPr>
          <w:t>domaines du secteur Nature et technologies</w:t>
        </w:r>
      </w:hyperlink>
      <w:r w:rsidRPr="002C4432">
        <w:t xml:space="preserve">, </w:t>
      </w:r>
      <w:hyperlink r:id="rId29" w:history="1">
        <w:r w:rsidRPr="002C4432">
          <w:rPr>
            <w:color w:val="0563C1" w:themeColor="hyperlink"/>
            <w:u w:val="single"/>
          </w:rPr>
          <w:t>domaines du secteur Santé</w:t>
        </w:r>
      </w:hyperlink>
      <w:r w:rsidRPr="002C4432">
        <w:t xml:space="preserve">, </w:t>
      </w:r>
      <w:hyperlink r:id="rId30" w:history="1">
        <w:r w:rsidRPr="002C4432">
          <w:rPr>
            <w:color w:val="0563C1" w:themeColor="hyperlink"/>
            <w:u w:val="single"/>
          </w:rPr>
          <w:t>domaines du secteur Société et culture</w:t>
        </w:r>
      </w:hyperlink>
      <w:r w:rsidRPr="002C4432">
        <w:t xml:space="preserve">) ainsi que les </w:t>
      </w:r>
      <w:hyperlink r:id="rId31" w:history="1">
        <w:r w:rsidRPr="4598DA70">
          <w:rPr>
            <w:rStyle w:val="Lienhypertexte"/>
            <w:rFonts w:cs="Arial"/>
          </w:rPr>
          <w:t>lignes directrices pour déposer une demande de bourse de formation</w:t>
        </w:r>
      </w:hyperlink>
      <w:r w:rsidR="006508F8">
        <w:t>.</w:t>
      </w:r>
      <w:r w:rsidRPr="4E7F8536">
        <w:rPr>
          <w:lang w:eastAsia="fr-CA"/>
        </w:rPr>
        <w:t xml:space="preserve"> Pour le choix du comité d’évaluation, elle doit consulter la </w:t>
      </w:r>
      <w:hyperlink r:id="rId32" w:history="1">
        <w:r w:rsidR="00DC1F46" w:rsidRPr="00F9389E">
          <w:rPr>
            <w:rStyle w:val="Lienhypertexte"/>
            <w:rFonts w:cs="Arial"/>
          </w:rPr>
          <w:t>liste des comités d’évaluation</w:t>
        </w:r>
        <w:r w:rsidR="00DC1F46">
          <w:rPr>
            <w:lang w:eastAsia="fr-CA"/>
          </w:rPr>
          <w:t xml:space="preserve"> </w:t>
        </w:r>
      </w:hyperlink>
      <w:r w:rsidRPr="4598DA70">
        <w:rPr>
          <w:lang w:eastAsia="fr-CA"/>
        </w:rPr>
        <w:t>du secteur sélectionné.</w:t>
      </w:r>
    </w:p>
    <w:p w14:paraId="3B748D50" w14:textId="77777777" w:rsidR="00010BAF" w:rsidRDefault="00BE61D9" w:rsidP="00010BAF">
      <w:pPr>
        <w:pStyle w:val="Titre3"/>
      </w:pPr>
      <w:bookmarkStart w:id="31" w:name="_Toc233714308"/>
      <w:r w:rsidRPr="00010BAF">
        <w:t xml:space="preserve">Documents requis </w:t>
      </w:r>
      <w:r w:rsidR="00EA2716" w:rsidRPr="00010BAF">
        <w:t xml:space="preserve">de </w:t>
      </w:r>
      <w:r w:rsidRPr="00010BAF">
        <w:t>la personne candidate</w:t>
      </w:r>
      <w:bookmarkEnd w:id="31"/>
      <w:r w:rsidRPr="00010BAF">
        <w:t xml:space="preserve"> </w:t>
      </w:r>
    </w:p>
    <w:p w14:paraId="67A7B1F9" w14:textId="436C3726" w:rsidR="00C51E69" w:rsidRPr="002C4432" w:rsidRDefault="00C51E69" w:rsidP="009176DD">
      <w:r w:rsidRPr="002C4432">
        <w:t xml:space="preserve">Une liste de contrôle des documents à joindre se trouve dans la boîte à outils. </w:t>
      </w:r>
    </w:p>
    <w:p w14:paraId="32E96655" w14:textId="18B0673C" w:rsidR="00BE61D9" w:rsidRPr="002C4432" w:rsidRDefault="00193E17" w:rsidP="009176DD">
      <w:r w:rsidRPr="00193E17">
        <w:t>Dans une optique d’optimisation du processus, la présentation intégrée du parcours ne fait plus partie des documents à joindre. Son contenu redoublant celui du CV descriptif, les éléments pertinents du parcours doivent désormais être consignés dans la section 1 du CV descriptif (voir la section 4.2.2).</w:t>
      </w:r>
      <w:r w:rsidR="00BE61D9" w:rsidRPr="002C4432">
        <w:t xml:space="preserve"> </w:t>
      </w:r>
    </w:p>
    <w:p w14:paraId="7B12A862" w14:textId="479D80A3" w:rsidR="009D0B48" w:rsidRPr="00010BAF" w:rsidRDefault="00BE61D9" w:rsidP="00F9389E">
      <w:pPr>
        <w:pStyle w:val="Titre4"/>
      </w:pPr>
      <w:r w:rsidRPr="00010BAF">
        <w:lastRenderedPageBreak/>
        <w:t>Carte RAMQ</w:t>
      </w:r>
      <w:r w:rsidRPr="00010BAF">
        <w:tab/>
      </w:r>
    </w:p>
    <w:p w14:paraId="3F078E77" w14:textId="449E728B" w:rsidR="00BE61D9" w:rsidRPr="002C4432" w:rsidRDefault="00BE61D9" w:rsidP="009176DD">
      <w:r w:rsidRPr="002C4432">
        <w:t>La personne candidate ayant la citoyenneté canadienne ou la résidence permanente canadienne doit joindre au formulaire de demande</w:t>
      </w:r>
      <w:r w:rsidR="009D1EE2">
        <w:t>:</w:t>
      </w:r>
      <w:r w:rsidRPr="002C4432">
        <w:t xml:space="preserve"> </w:t>
      </w:r>
    </w:p>
    <w:p w14:paraId="0507DFD2" w14:textId="0C7440E0" w:rsidR="00BE61D9" w:rsidRPr="002C4432" w:rsidRDefault="00BE61D9" w:rsidP="009176DD">
      <w:pPr>
        <w:pStyle w:val="Paragraphedeliste"/>
        <w:numPr>
          <w:ilvl w:val="0"/>
          <w:numId w:val="36"/>
        </w:numPr>
      </w:pPr>
      <w:r w:rsidRPr="002C4432">
        <w:t xml:space="preserve">une carte de la Régie de l’assurance maladie du Québec (RAMQ) valide à la date limite du concours, </w:t>
      </w:r>
      <w:r w:rsidR="0054659E" w:rsidRPr="002C4432">
        <w:t>ou</w:t>
      </w:r>
    </w:p>
    <w:p w14:paraId="2F9C5822" w14:textId="07F77B50" w:rsidR="00773D32" w:rsidRPr="002C4432" w:rsidRDefault="00BE61D9" w:rsidP="009176DD">
      <w:pPr>
        <w:pStyle w:val="Paragraphedeliste"/>
        <w:numPr>
          <w:ilvl w:val="0"/>
          <w:numId w:val="36"/>
        </w:numPr>
      </w:pPr>
      <w:r w:rsidRPr="002C4432">
        <w:t>une preuve attestant qu’une carte a été demandée à la RAMQ et qu’elle sera valide à la date limite du concours</w:t>
      </w:r>
      <w:r w:rsidR="00773D32" w:rsidRPr="002C4432">
        <w:t>,</w:t>
      </w:r>
      <w:r w:rsidR="0054659E" w:rsidRPr="002C4432">
        <w:t xml:space="preserve"> ou</w:t>
      </w:r>
    </w:p>
    <w:p w14:paraId="17DF486E" w14:textId="6054C52A" w:rsidR="00773D32" w:rsidRPr="002C4432" w:rsidRDefault="00773D32" w:rsidP="009176DD">
      <w:pPr>
        <w:pStyle w:val="Paragraphedeliste"/>
        <w:numPr>
          <w:ilvl w:val="0"/>
          <w:numId w:val="36"/>
        </w:numPr>
      </w:pPr>
      <w:r w:rsidRPr="002C4432">
        <w:t xml:space="preserve">si elle est en processus de renouvellement de sa carte RAMQ à la date limite du concours, une preuve qu’une nouvelle carte a été demandée à la RAMQ et une copie de sa carte échue. </w:t>
      </w:r>
    </w:p>
    <w:p w14:paraId="2B3DF454" w14:textId="7831E3B2" w:rsidR="00BE61D9" w:rsidRDefault="00BE61D9" w:rsidP="000B53F8">
      <w:r w:rsidRPr="002C4432">
        <w:t>Conformément à la section 3.4 des présentes règles, la personne candidate qui ne détient pas la citoyenneté canadienne ou la résidence permanente canadienne, ou qui ne détient pas l’un des documents ci-dessus, demeure admissible au présent concours, mais doit faire son stage postdoctoral dans un établissement universitaire du Québec.</w:t>
      </w:r>
    </w:p>
    <w:p w14:paraId="0F4DD0DC" w14:textId="59437893" w:rsidR="000B53F8" w:rsidRPr="002C4432" w:rsidRDefault="000B53F8" w:rsidP="009176DD">
      <w:r>
        <w:t>{Page 10}</w:t>
      </w:r>
    </w:p>
    <w:p w14:paraId="1369B230" w14:textId="1EE4361D" w:rsidR="009D0B48" w:rsidRPr="00332CC6" w:rsidRDefault="00BE61D9" w:rsidP="00F9389E">
      <w:pPr>
        <w:pStyle w:val="Titre4"/>
      </w:pPr>
      <w:r w:rsidRPr="00332CC6">
        <w:t>Curriculum vitae</w:t>
      </w:r>
    </w:p>
    <w:p w14:paraId="1B0E5F94" w14:textId="3C815966" w:rsidR="00C06BEE" w:rsidRPr="002C4432" w:rsidRDefault="7F5E621C" w:rsidP="009176DD">
      <w:r w:rsidRPr="002C4432">
        <w:t xml:space="preserve">La personne candidate doit </w:t>
      </w:r>
      <w:r w:rsidR="797AE966" w:rsidRPr="002C4432">
        <w:t>joindre</w:t>
      </w:r>
      <w:r w:rsidR="0674DCD7" w:rsidRPr="002C4432">
        <w:t xml:space="preserve"> au formulaire de demande</w:t>
      </w:r>
      <w:r w:rsidR="797AE966" w:rsidRPr="002C4432">
        <w:t xml:space="preserve"> </w:t>
      </w:r>
      <w:r w:rsidR="19A65A59" w:rsidRPr="002C4432">
        <w:t xml:space="preserve">le </w:t>
      </w:r>
      <w:r w:rsidRPr="002C4432">
        <w:t>curriculum vitae</w:t>
      </w:r>
      <w:r w:rsidR="19A65A59" w:rsidRPr="002C4432">
        <w:t xml:space="preserve"> (CV) descriptif du FRQ</w:t>
      </w:r>
      <w:r w:rsidR="630AE4B0" w:rsidRPr="002C4432">
        <w:t xml:space="preserve">. </w:t>
      </w:r>
      <w:r w:rsidR="007C1A5D" w:rsidRPr="007C1A5D">
        <w:t>Le CV descriptif doit être complété directement en ligne, à la section «CV-FRQ» de l’Espace demande du portail FRQnet, en suivant les instructions qui y sont détaillées</w:t>
      </w:r>
      <w:r w:rsidR="00907680">
        <w:t>.</w:t>
      </w:r>
    </w:p>
    <w:p w14:paraId="06013D3F" w14:textId="5C5BA0A5" w:rsidR="0086688E" w:rsidRPr="002C4432" w:rsidRDefault="00DF74E4" w:rsidP="009176DD">
      <w:pPr>
        <w:rPr>
          <w:rFonts w:eastAsia="Calibri"/>
        </w:rPr>
      </w:pPr>
      <w:r w:rsidRPr="00DF74E4">
        <w:t>Le document ne peut compter plus de</w:t>
      </w:r>
      <w:r>
        <w:t xml:space="preserve"> </w:t>
      </w:r>
      <w:r w:rsidR="6157C207" w:rsidRPr="002C4432">
        <w:rPr>
          <w:rFonts w:eastAsia="Calibri"/>
        </w:rPr>
        <w:t xml:space="preserve">6 pages (ou </w:t>
      </w:r>
      <w:r>
        <w:rPr>
          <w:rFonts w:eastAsia="Calibri"/>
        </w:rPr>
        <w:t xml:space="preserve">de </w:t>
      </w:r>
      <w:r w:rsidR="6157C207" w:rsidRPr="002C4432">
        <w:rPr>
          <w:rFonts w:eastAsia="Calibri"/>
        </w:rPr>
        <w:t>5 pages en version anglaise)</w:t>
      </w:r>
      <w:r w:rsidR="0D5883BE" w:rsidRPr="002C4432">
        <w:rPr>
          <w:rFonts w:eastAsia="Calibri"/>
        </w:rPr>
        <w:t>.</w:t>
      </w:r>
    </w:p>
    <w:p w14:paraId="18A1C9AC" w14:textId="77777777" w:rsidR="004E49B7" w:rsidRPr="004E49B7" w:rsidRDefault="04E669F9" w:rsidP="004E49B7">
      <w:r w:rsidRPr="002C4432">
        <w:t xml:space="preserve">Les renseignements fournis dans ce CV </w:t>
      </w:r>
      <w:r w:rsidR="4D0D2B85" w:rsidRPr="002C4432">
        <w:t xml:space="preserve">descriptif </w:t>
      </w:r>
      <w:r w:rsidRPr="002C4432">
        <w:t xml:space="preserve">doivent être </w:t>
      </w:r>
      <w:r w:rsidR="00D9007C" w:rsidRPr="00D9007C">
        <w:t xml:space="preserve">mis à jour annuellement et </w:t>
      </w:r>
      <w:r w:rsidRPr="002C4432">
        <w:t xml:space="preserve">alignés sur les </w:t>
      </w:r>
      <w:r w:rsidRPr="002C4432">
        <w:rPr>
          <w:b/>
        </w:rPr>
        <w:t>objectifs du programme</w:t>
      </w:r>
      <w:r w:rsidRPr="002C4432">
        <w:t xml:space="preserve"> (section 1) et sur ses </w:t>
      </w:r>
      <w:r w:rsidRPr="002C4432">
        <w:rPr>
          <w:b/>
        </w:rPr>
        <w:t>critères d’évaluation</w:t>
      </w:r>
      <w:r w:rsidRPr="002C4432">
        <w:t xml:space="preserve"> (section 5). À ce titre, il est recommandé de structurer clairement les informations en </w:t>
      </w:r>
      <w:r w:rsidR="005D5B53" w:rsidRPr="005D5B53">
        <w:t>(p. ex</w:t>
      </w:r>
      <w:r w:rsidR="005D5B53" w:rsidRPr="00E313B2">
        <w:t xml:space="preserve">., </w:t>
      </w:r>
      <w:r w:rsidRPr="00F9389E">
        <w:t>sous-sections identifiées aux critères ou sous-critères d'évaluation concernés</w:t>
      </w:r>
      <w:r w:rsidR="00E313B2" w:rsidRPr="00F9389E">
        <w:t>, courts paragraphes, liste descriptive, usage du caractère gras ou de l’italique, etc.)</w:t>
      </w:r>
      <w:r w:rsidRPr="00E313B2">
        <w:t>,</w:t>
      </w:r>
      <w:r w:rsidRPr="002C4432">
        <w:t xml:space="preserve"> de façon à mettre en évidence les éléments pertinents à l'évaluation.</w:t>
      </w:r>
    </w:p>
    <w:p w14:paraId="11C28BB3" w14:textId="77777777" w:rsidR="004E49B7" w:rsidRPr="004E49B7" w:rsidRDefault="004E49B7" w:rsidP="004E49B7">
      <w:r w:rsidRPr="004E49B7">
        <w:t xml:space="preserve">Il est à noter que certains éléments liés au parcours et aux compétences sont demandés dans le formulaire de demande de financement de bourses </w:t>
      </w:r>
      <w:r w:rsidRPr="004E49B7">
        <w:lastRenderedPageBreak/>
        <w:t>postdoctorales, dont le parcours universitaire, la thèse de doctorat, les reconnaissances, les compétences linguistiques et l’historique d’emploi. Ainsi, il est conseillé d’éviter toute répétition entre le CV et le formulaire, à moins que cette répétition apporte un éclairage utile au comité d’évaluation.</w:t>
      </w:r>
    </w:p>
    <w:p w14:paraId="6F761F0D" w14:textId="77777777" w:rsidR="004E49B7" w:rsidRPr="004E49B7" w:rsidRDefault="004E49B7" w:rsidP="004E49B7">
      <w:r w:rsidRPr="004E49B7">
        <w:t xml:space="preserve">Enfin, afin d’aider le comité d’évaluation à mieux comprendre, contextualiser et évaluer les contributions de la personne candidate, celle-ci peut notamment utiliser la première section du CV descriptif (« Parcours et compétences ») pour y décrire les liens entre ses expériences et intérêts, d’une part, et ses choix d’orientation, sa formation, son cheminement académique et professionnel, d’autre part. Il n’est pas attendu de la personne candidate qu’elle y livre des informations personnelles sensibles. </w:t>
      </w:r>
    </w:p>
    <w:p w14:paraId="1A0D6BE5" w14:textId="21922B70" w:rsidR="003E7DEB" w:rsidRPr="002C4432" w:rsidRDefault="004E49B7" w:rsidP="004E49B7">
      <w:r w:rsidRPr="004E49B7">
        <w:t>Pour plus d’informations sur le CV descriptif du FRQ, consulter la page « </w:t>
      </w:r>
      <w:hyperlink r:id="rId33">
        <w:r w:rsidRPr="004E49B7">
          <w:rPr>
            <w:rStyle w:val="Lienhypertexte"/>
          </w:rPr>
          <w:t>CV-FRQ</w:t>
        </w:r>
      </w:hyperlink>
      <w:r w:rsidRPr="004E49B7">
        <w:t xml:space="preserve"> ».</w:t>
      </w:r>
    </w:p>
    <w:p w14:paraId="46D2706C" w14:textId="0BBD2E4E" w:rsidR="009D0B48" w:rsidRPr="002C4432" w:rsidRDefault="00BE61D9" w:rsidP="00F9389E">
      <w:pPr>
        <w:pStyle w:val="Titre4"/>
      </w:pPr>
      <w:r w:rsidRPr="002C4432">
        <w:t>Autres documents à joindre au formulaire</w:t>
      </w:r>
    </w:p>
    <w:p w14:paraId="2C6B984E" w14:textId="21FFBBD2" w:rsidR="00BE61D9" w:rsidRPr="002C4432" w:rsidRDefault="00BE61D9" w:rsidP="009176DD">
      <w:r w:rsidRPr="002C4432">
        <w:t xml:space="preserve">La personne candidate doit également joindre les documents suivants aux sections </w:t>
      </w:r>
      <w:r w:rsidR="00B31EC3" w:rsidRPr="002C4432">
        <w:t xml:space="preserve">appropriées </w:t>
      </w:r>
      <w:r w:rsidRPr="002C4432">
        <w:t>du formulaire de demande</w:t>
      </w:r>
      <w:r w:rsidR="009D1EE2">
        <w:t>:</w:t>
      </w:r>
      <w:r w:rsidRPr="002C4432">
        <w:t xml:space="preserve"> </w:t>
      </w:r>
    </w:p>
    <w:p w14:paraId="4E2395EB" w14:textId="10E62719" w:rsidR="0006263A" w:rsidRPr="002C4432" w:rsidRDefault="007D6278" w:rsidP="009176DD">
      <w:pPr>
        <w:pStyle w:val="Paragraphedeliste"/>
        <w:numPr>
          <w:ilvl w:val="0"/>
          <w:numId w:val="37"/>
        </w:numPr>
      </w:pPr>
      <w:r w:rsidRPr="000B53F8">
        <w:rPr>
          <w:b/>
          <w:bCs/>
        </w:rPr>
        <w:t>Recherche antérieure</w:t>
      </w:r>
      <w:r w:rsidR="00BE61D9" w:rsidRPr="002C4432">
        <w:t xml:space="preserve"> (</w:t>
      </w:r>
      <w:r w:rsidR="74760978" w:rsidRPr="002C4432">
        <w:t>1</w:t>
      </w:r>
      <w:r w:rsidR="00BE61D9" w:rsidRPr="002C4432">
        <w:t xml:space="preserve"> page maximum)</w:t>
      </w:r>
      <w:r w:rsidR="009D1EE2">
        <w:t>:</w:t>
      </w:r>
      <w:r w:rsidR="00BE61D9" w:rsidRPr="002C4432">
        <w:t xml:space="preserve"> la personne candidate doit </w:t>
      </w:r>
      <w:r w:rsidR="00497626" w:rsidRPr="002C4432">
        <w:t>indiquer</w:t>
      </w:r>
      <w:r w:rsidR="00BE61D9" w:rsidRPr="002C4432">
        <w:t xml:space="preserve"> le titre, le résumé et l’état d’avancement de sa thèse de doctorat, ainsi que le lien entre le sujet de celle-ci et le projet de recherche postdoctorale</w:t>
      </w:r>
      <w:r w:rsidR="0088100D" w:rsidRPr="002C4432">
        <w:t>, le cas échéant</w:t>
      </w:r>
      <w:r w:rsidR="00BE61D9" w:rsidRPr="002C4432">
        <w:t xml:space="preserve">. </w:t>
      </w:r>
      <w:r w:rsidR="3DA41160" w:rsidRPr="002C4432">
        <w:t xml:space="preserve">Dans le cas où </w:t>
      </w:r>
      <w:r w:rsidR="059697F9" w:rsidRPr="002C4432">
        <w:t>la personne candidate a déjà amorcé</w:t>
      </w:r>
      <w:r w:rsidR="085A2920" w:rsidRPr="002C4432">
        <w:t xml:space="preserve"> ou effectué</w:t>
      </w:r>
      <w:r w:rsidR="059697F9" w:rsidRPr="002C4432">
        <w:t xml:space="preserve"> </w:t>
      </w:r>
      <w:r w:rsidR="3DA41160" w:rsidRPr="002C4432">
        <w:t>un postdoctorat,</w:t>
      </w:r>
      <w:r w:rsidR="279E7906" w:rsidRPr="002C4432">
        <w:t xml:space="preserve"> elle doit en outre </w:t>
      </w:r>
      <w:r w:rsidR="4823727D" w:rsidRPr="002C4432">
        <w:t xml:space="preserve">préciser </w:t>
      </w:r>
      <w:r w:rsidR="47032EEF" w:rsidRPr="002C4432">
        <w:t>le lien entre celui-ci</w:t>
      </w:r>
      <w:r w:rsidR="3DA41160" w:rsidRPr="002C4432">
        <w:t xml:space="preserve"> </w:t>
      </w:r>
      <w:r w:rsidR="080732B9" w:rsidRPr="002C4432">
        <w:t xml:space="preserve">et le projet qui fait l’objet de la présente demande. </w:t>
      </w:r>
      <w:r w:rsidR="00BE61D9" w:rsidRPr="002C4432">
        <w:t xml:space="preserve">Bien qu’aucune notation ne lui soit attribuée, la section </w:t>
      </w:r>
      <w:r w:rsidR="00B648EA">
        <w:t>«</w:t>
      </w:r>
      <w:r w:rsidRPr="002C4432">
        <w:t>Recherche antérieure</w:t>
      </w:r>
      <w:r w:rsidR="00BE61D9" w:rsidRPr="002C4432">
        <w:t xml:space="preserve">» peut aider le comité d’évaluation à mieux évaluer le projet de recherche et à moduler ses attentes en matière de réalisations en fonction du stade d’avancement du </w:t>
      </w:r>
      <w:r w:rsidR="69E0AD64" w:rsidRPr="002C4432">
        <w:t>parcours</w:t>
      </w:r>
      <w:r w:rsidR="00BE61D9" w:rsidRPr="002C4432">
        <w:t xml:space="preserve">. </w:t>
      </w:r>
    </w:p>
    <w:p w14:paraId="14F490F1" w14:textId="3798DBB7" w:rsidR="000B53F8" w:rsidRPr="005612EA" w:rsidRDefault="000B53F8" w:rsidP="009176DD">
      <w:r>
        <w:t>{Page 11}</w:t>
      </w:r>
    </w:p>
    <w:p w14:paraId="0A28E871" w14:textId="193E95E8" w:rsidR="0006263A" w:rsidRPr="001A371F" w:rsidRDefault="0006263A" w:rsidP="009176DD">
      <w:pPr>
        <w:pStyle w:val="Paragraphedeliste"/>
        <w:numPr>
          <w:ilvl w:val="0"/>
          <w:numId w:val="37"/>
        </w:numPr>
      </w:pPr>
      <w:r w:rsidRPr="009176DD">
        <w:rPr>
          <w:rFonts w:eastAsia="Times New Roman"/>
          <w:b/>
          <w:bCs/>
          <w:color w:val="000000" w:themeColor="text1"/>
          <w:lang w:eastAsia="fr-CA"/>
        </w:rPr>
        <w:t xml:space="preserve">Reconnaissances </w:t>
      </w:r>
      <w:r w:rsidRPr="009176DD">
        <w:rPr>
          <w:rFonts w:eastAsia="Times New Roman"/>
          <w:color w:val="000000" w:themeColor="text1"/>
          <w:lang w:eastAsia="fr-CA"/>
        </w:rPr>
        <w:t>(1 page maximum)</w:t>
      </w:r>
      <w:r w:rsidR="009D1EE2">
        <w:rPr>
          <w:rFonts w:eastAsia="Times New Roman"/>
          <w:color w:val="000000" w:themeColor="text1"/>
          <w:lang w:eastAsia="fr-CA"/>
        </w:rPr>
        <w:t>:</w:t>
      </w:r>
      <w:r w:rsidRPr="009176DD">
        <w:rPr>
          <w:rFonts w:eastAsia="Times New Roman"/>
          <w:color w:val="000000" w:themeColor="text1"/>
          <w:lang w:eastAsia="fr-CA"/>
        </w:rPr>
        <w:t xml:space="preserve"> la personne candidate, le cas échéant, doit décrire les bourses, prix et distinctions qu’elle a obtenus, de même que leurs modalités d’attribution</w:t>
      </w:r>
      <w:r w:rsidR="00633A17">
        <w:rPr>
          <w:rFonts w:eastAsia="Times New Roman"/>
          <w:color w:val="000000" w:themeColor="text1"/>
          <w:lang w:eastAsia="fr-CA"/>
        </w:rPr>
        <w:t xml:space="preserve">, </w:t>
      </w:r>
      <w:r w:rsidR="00633A17" w:rsidRPr="00633A17">
        <w:rPr>
          <w:rFonts w:eastAsia="Times New Roman"/>
          <w:color w:val="000000" w:themeColor="text1"/>
          <w:lang w:eastAsia="fr-CA"/>
        </w:rPr>
        <w:t>en précisant notamment s’il s’agit de reconnaissances attribuées à l’issue d’un processus de concours fondé sur l’excellence ou accordées sur d’autres bases</w:t>
      </w:r>
      <w:r w:rsidRPr="009176DD">
        <w:rPr>
          <w:rFonts w:eastAsia="Times New Roman"/>
          <w:color w:val="000000" w:themeColor="text1"/>
          <w:lang w:eastAsia="fr-CA"/>
        </w:rPr>
        <w:t>.</w:t>
      </w:r>
    </w:p>
    <w:p w14:paraId="463B2D44" w14:textId="46FC13DF" w:rsidR="00BE61D9" w:rsidRPr="002C4432" w:rsidRDefault="00BE61D9" w:rsidP="009176DD">
      <w:pPr>
        <w:pStyle w:val="Paragraphedeliste"/>
        <w:numPr>
          <w:ilvl w:val="0"/>
          <w:numId w:val="37"/>
        </w:numPr>
      </w:pPr>
      <w:r w:rsidRPr="000B53F8">
        <w:rPr>
          <w:b/>
          <w:bCs/>
        </w:rPr>
        <w:t>Projet de recherche</w:t>
      </w:r>
      <w:r w:rsidRPr="002C4432">
        <w:t xml:space="preserve"> (</w:t>
      </w:r>
      <w:r w:rsidR="00633A17">
        <w:t>4</w:t>
      </w:r>
      <w:r w:rsidR="00633A17" w:rsidRPr="002C4432">
        <w:t xml:space="preserve"> </w:t>
      </w:r>
      <w:r w:rsidRPr="002C4432">
        <w:t>pages maximum)</w:t>
      </w:r>
      <w:r w:rsidR="009D1EE2">
        <w:t>:</w:t>
      </w:r>
      <w:r w:rsidRPr="002C4432">
        <w:t xml:space="preserve"> la personne candidate doit décrire son projet de recherche. Elle doit démontrer l’originalité du projet et son potentiel de contribution à l’avancement des </w:t>
      </w:r>
      <w:r w:rsidR="00184883" w:rsidRPr="002C4432">
        <w:t>connaissances</w:t>
      </w:r>
      <w:r w:rsidR="009D1EE2">
        <w:t>;</w:t>
      </w:r>
      <w:r w:rsidRPr="002C4432">
        <w:t xml:space="preserve"> la clarté et la </w:t>
      </w:r>
      <w:r w:rsidRPr="002C4432">
        <w:lastRenderedPageBreak/>
        <w:t xml:space="preserve">cohérence de la problématique de </w:t>
      </w:r>
      <w:r w:rsidR="56353BBA" w:rsidRPr="002C4432">
        <w:t>recherche</w:t>
      </w:r>
      <w:r w:rsidR="009D1EE2">
        <w:t>;</w:t>
      </w:r>
      <w:r w:rsidRPr="002C4432">
        <w:t xml:space="preserve"> la pertinence </w:t>
      </w:r>
      <w:r w:rsidR="53DB9AAF" w:rsidRPr="002C4432">
        <w:t>du cadre conceptuel</w:t>
      </w:r>
      <w:r w:rsidR="6C113FBB" w:rsidRPr="002C4432">
        <w:t xml:space="preserve"> et </w:t>
      </w:r>
      <w:r w:rsidR="670FDD91" w:rsidRPr="002C4432">
        <w:t>de la méthodologie</w:t>
      </w:r>
      <w:r w:rsidR="53DB9AAF" w:rsidRPr="002C4432">
        <w:t>,</w:t>
      </w:r>
      <w:r w:rsidRPr="002C4432">
        <w:t xml:space="preserve"> ainsi que la faisabilité du projet et le réalisme du calendrier.</w:t>
      </w:r>
      <w:r w:rsidR="005B6A16">
        <w:t xml:space="preserve"> </w:t>
      </w:r>
      <w:r w:rsidR="005B6A16" w:rsidRPr="005B6A16">
        <w:t xml:space="preserve">Il est recommandé de présenter le projet de manière claire et simple, sans jargon ou acronymes non définis. </w:t>
      </w:r>
      <w:r w:rsidRPr="002C4432">
        <w:t xml:space="preserve"> </w:t>
      </w:r>
    </w:p>
    <w:p w14:paraId="67445BD3" w14:textId="4F932628" w:rsidR="00BE61D9" w:rsidRPr="002C4432" w:rsidRDefault="00BE61D9" w:rsidP="009176DD">
      <w:pPr>
        <w:pStyle w:val="Paragraphedeliste"/>
        <w:numPr>
          <w:ilvl w:val="0"/>
          <w:numId w:val="37"/>
        </w:numPr>
      </w:pPr>
      <w:r w:rsidRPr="000B53F8">
        <w:rPr>
          <w:b/>
          <w:bCs/>
        </w:rPr>
        <w:t>Bibliographie</w:t>
      </w:r>
      <w:r w:rsidRPr="002C4432">
        <w:t xml:space="preserve"> (</w:t>
      </w:r>
      <w:r w:rsidR="005B6A16">
        <w:t>2</w:t>
      </w:r>
      <w:r w:rsidR="005B6A16" w:rsidRPr="002C4432">
        <w:t xml:space="preserve"> </w:t>
      </w:r>
      <w:r w:rsidRPr="002C4432">
        <w:t>page</w:t>
      </w:r>
      <w:r w:rsidR="005B6A16">
        <w:t>s</w:t>
      </w:r>
      <w:r w:rsidRPr="002C4432">
        <w:t xml:space="preserve"> maximum)</w:t>
      </w:r>
      <w:r w:rsidR="009D1EE2">
        <w:t>:</w:t>
      </w:r>
      <w:r w:rsidRPr="002C4432">
        <w:t xml:space="preserve"> la personne candidate doit lister les références complètes des ouvrages utilisés dans la description du projet de recherche. Conformément à l’article 3.2 des RGC, il est permis d’inclure des hyperliens menant vers des pages Web, à la manière de références bibliographiques, quand cela est pertinent.</w:t>
      </w:r>
    </w:p>
    <w:p w14:paraId="44838A7D" w14:textId="09955356" w:rsidR="00BE61D9" w:rsidRPr="002C4432" w:rsidRDefault="00BE61D9" w:rsidP="009176DD">
      <w:pPr>
        <w:pStyle w:val="Paragraphedeliste"/>
        <w:numPr>
          <w:ilvl w:val="0"/>
          <w:numId w:val="37"/>
        </w:numPr>
      </w:pPr>
      <w:r w:rsidRPr="000B53F8">
        <w:rPr>
          <w:b/>
          <w:bCs/>
        </w:rPr>
        <w:t>Justification et pertinence du milieu d’accueil</w:t>
      </w:r>
      <w:r w:rsidRPr="002C4432">
        <w:t xml:space="preserve"> (</w:t>
      </w:r>
      <w:r w:rsidR="6DFEA518" w:rsidRPr="002C4432">
        <w:t>1</w:t>
      </w:r>
      <w:r w:rsidRPr="002C4432">
        <w:t xml:space="preserve"> page maximum)</w:t>
      </w:r>
      <w:r w:rsidR="009D1EE2">
        <w:t>:</w:t>
      </w:r>
      <w:r w:rsidRPr="002C4432">
        <w:t xml:space="preserve"> la personne candidate doit justifier </w:t>
      </w:r>
      <w:r w:rsidR="1EF38CB1" w:rsidRPr="002C4432">
        <w:t xml:space="preserve">le choix </w:t>
      </w:r>
      <w:r w:rsidRPr="002C4432">
        <w:t xml:space="preserve">et la pertinence du milieu de supervision ou de cosupervision pour la réalisation de son projet de recherche, incluant son plan d’intégration. Elle doit également en démontrer la valeur ajoutée pour le développement </w:t>
      </w:r>
      <w:r w:rsidR="4D829B61" w:rsidRPr="002C4432">
        <w:t xml:space="preserve">de son </w:t>
      </w:r>
      <w:r w:rsidRPr="002C4432">
        <w:t xml:space="preserve">plan de carrière. Pour ce faire, il est recommandé d’aborder les </w:t>
      </w:r>
      <w:r w:rsidR="34150055" w:rsidRPr="002C4432">
        <w:t>points</w:t>
      </w:r>
      <w:r w:rsidR="7F1FC4C1" w:rsidRPr="002C4432">
        <w:t xml:space="preserve"> </w:t>
      </w:r>
      <w:r w:rsidRPr="002C4432">
        <w:t>suivants</w:t>
      </w:r>
      <w:r w:rsidR="009D1EE2">
        <w:t>:</w:t>
      </w:r>
      <w:r w:rsidRPr="002C4432">
        <w:t xml:space="preserve"> </w:t>
      </w:r>
    </w:p>
    <w:p w14:paraId="5B294E28" w14:textId="239D3277" w:rsidR="00263A26" w:rsidRPr="002C4432" w:rsidRDefault="650C3931" w:rsidP="009176DD">
      <w:pPr>
        <w:pStyle w:val="Paragraphedeliste"/>
        <w:numPr>
          <w:ilvl w:val="1"/>
          <w:numId w:val="37"/>
        </w:numPr>
      </w:pPr>
      <w:r w:rsidRPr="002C4432">
        <w:t>les éléments qui rendent ce milieu de supervision ou de cosupervision particulièrement approprié à la réalisation de son projet de recherche et favorable à son intégration</w:t>
      </w:r>
    </w:p>
    <w:p w14:paraId="23E40655" w14:textId="5B2BA5B2" w:rsidR="00263A26" w:rsidRPr="002C4432" w:rsidRDefault="00BE61D9" w:rsidP="009176DD">
      <w:pPr>
        <w:pStyle w:val="Paragraphedeliste"/>
        <w:numPr>
          <w:ilvl w:val="1"/>
          <w:numId w:val="37"/>
        </w:numPr>
      </w:pPr>
      <w:r w:rsidRPr="002C4432">
        <w:t xml:space="preserve">la manière dont le milieu de supervision ou de cosupervision lui permettra </w:t>
      </w:r>
      <w:r w:rsidR="005F4533" w:rsidRPr="005F4533">
        <w:t>d’intégrer de nouveaux réseaux, de développer de nouvelles collaborations, d’acquérir de nouvelles compétences et d’approfondir ses perspectives de recherche, conformément aux objectifs du programme</w:t>
      </w:r>
      <w:r w:rsidR="19106E6F" w:rsidRPr="002C4432">
        <w:t>.</w:t>
      </w:r>
    </w:p>
    <w:p w14:paraId="4F441AB3" w14:textId="40AAC80F" w:rsidR="009D0B48" w:rsidRPr="002C4432" w:rsidRDefault="548E519F" w:rsidP="00F9389E">
      <w:pPr>
        <w:pStyle w:val="Titre4"/>
      </w:pPr>
      <w:r w:rsidRPr="002C4432">
        <w:t xml:space="preserve"> </w:t>
      </w:r>
      <w:r w:rsidR="00BE61D9" w:rsidRPr="002C4432">
        <w:t>Documents pour mesures d’exception</w:t>
      </w:r>
    </w:p>
    <w:p w14:paraId="483F60E9" w14:textId="72C9BBAA" w:rsidR="00BE61D9" w:rsidRPr="002C4432" w:rsidRDefault="00BE61D9" w:rsidP="009176DD">
      <w:r w:rsidRPr="002C4432">
        <w:t xml:space="preserve">La personne candidate qui souhaite se prévaloir d’une </w:t>
      </w:r>
      <w:r w:rsidRPr="002C4432">
        <w:rPr>
          <w:b/>
          <w:bCs/>
        </w:rPr>
        <w:t>mesure d’exception concernant la période d’admissibilité</w:t>
      </w:r>
      <w:r w:rsidRPr="002C4432">
        <w:t xml:space="preserve"> (voir la section 3.2) doit fournir</w:t>
      </w:r>
      <w:r w:rsidR="009D1EE2">
        <w:t>:</w:t>
      </w:r>
    </w:p>
    <w:p w14:paraId="4275A9BB" w14:textId="03C532B6" w:rsidR="00BE61D9" w:rsidRPr="002C4432" w:rsidRDefault="00BE61D9" w:rsidP="009176DD">
      <w:pPr>
        <w:pStyle w:val="Paragraphedeliste"/>
        <w:numPr>
          <w:ilvl w:val="0"/>
          <w:numId w:val="39"/>
        </w:numPr>
      </w:pPr>
      <w:r w:rsidRPr="003666E3">
        <w:rPr>
          <w:b/>
          <w:bCs/>
        </w:rPr>
        <w:t>Justification à la demande de prolongation ou d’exemption de la période d’admissibilité</w:t>
      </w:r>
      <w:r w:rsidRPr="002C4432">
        <w:t xml:space="preserve"> (1 page maximum)</w:t>
      </w:r>
      <w:r w:rsidR="009D1EE2">
        <w:t>:</w:t>
      </w:r>
      <w:r w:rsidRPr="002C4432">
        <w:t xml:space="preserve"> la personne doit </w:t>
      </w:r>
      <w:r w:rsidR="006A452F" w:rsidRPr="002C4432">
        <w:t xml:space="preserve">expliquer </w:t>
      </w:r>
      <w:r w:rsidRPr="002C4432">
        <w:t>la demande d’exception et fournir, dans le cas d’une demande de prolongation, les dates et la durée des interruptions</w:t>
      </w:r>
      <w:r w:rsidR="002D2524" w:rsidRPr="002C4432">
        <w:t>, ainsi que le taux de ralentissement des activités, le cas échéant</w:t>
      </w:r>
      <w:r w:rsidRPr="002C4432">
        <w:t>. Ce document doit être joint à la section «</w:t>
      </w:r>
      <w:r w:rsidR="00B057E7" w:rsidRPr="002C4432">
        <w:t>Préadmissibilité</w:t>
      </w:r>
      <w:r w:rsidRPr="002C4432">
        <w:t xml:space="preserve">» du formulaire et </w:t>
      </w:r>
      <w:r w:rsidRPr="003666E3">
        <w:rPr>
          <w:b/>
          <w:bCs/>
        </w:rPr>
        <w:t>ne sera pas transmis au comité d’évaluation</w:t>
      </w:r>
      <w:r w:rsidRPr="002C4432">
        <w:t xml:space="preserve">. </w:t>
      </w:r>
    </w:p>
    <w:p w14:paraId="36FD48AB" w14:textId="50F17826" w:rsidR="00BE61D9" w:rsidRPr="002C4432" w:rsidRDefault="00BE61D9" w:rsidP="009176DD">
      <w:pPr>
        <w:pStyle w:val="Paragraphedeliste"/>
        <w:numPr>
          <w:ilvl w:val="0"/>
          <w:numId w:val="39"/>
        </w:numPr>
      </w:pPr>
      <w:r w:rsidRPr="003666E3">
        <w:rPr>
          <w:b/>
          <w:bCs/>
        </w:rPr>
        <w:t>Documents justificatifs</w:t>
      </w:r>
      <w:r w:rsidR="2F9E946A" w:rsidRPr="003666E3">
        <w:rPr>
          <w:b/>
          <w:bCs/>
        </w:rPr>
        <w:t xml:space="preserve"> </w:t>
      </w:r>
      <w:r w:rsidR="008A619E" w:rsidRPr="003666E3">
        <w:rPr>
          <w:b/>
          <w:bCs/>
        </w:rPr>
        <w:t xml:space="preserve">appuyant la demande d’exception </w:t>
      </w:r>
      <w:r w:rsidR="00C560AE" w:rsidRPr="002C4432">
        <w:t>(5 pages maximum)</w:t>
      </w:r>
      <w:r w:rsidR="009D1EE2">
        <w:rPr>
          <w:b/>
          <w:bCs/>
        </w:rPr>
        <w:t>:</w:t>
      </w:r>
      <w:r w:rsidRPr="002C4432">
        <w:t xml:space="preserve"> p. ex., attestation médicale, reconnaissance de handicap, certificat </w:t>
      </w:r>
      <w:r w:rsidRPr="002C4432">
        <w:lastRenderedPageBreak/>
        <w:t>de naissance de l’enfant, demande de crédit d’impôt pour aidant naturel, document ou lettre officielle de l’employeur, etc.</w:t>
      </w:r>
      <w:r w:rsidR="0071139D" w:rsidRPr="002C4432">
        <w:t xml:space="preserve"> </w:t>
      </w:r>
      <w:r w:rsidR="00EF5347" w:rsidRPr="002C4432">
        <w:t>Ces documents</w:t>
      </w:r>
      <w:r w:rsidRPr="002C4432">
        <w:t xml:space="preserve"> permettent au Fonds de déterminer la durée de la prolongation à accorder. Ils doivent être joints dans la section «</w:t>
      </w:r>
      <w:r w:rsidR="00B057E7" w:rsidRPr="002C4432">
        <w:t>Préadmissibilité</w:t>
      </w:r>
      <w:r w:rsidRPr="002C4432">
        <w:t>»</w:t>
      </w:r>
      <w:r w:rsidR="00B057E7" w:rsidRPr="002C4432">
        <w:t xml:space="preserve"> du formulaire</w:t>
      </w:r>
      <w:r w:rsidRPr="002C4432">
        <w:t xml:space="preserve"> et </w:t>
      </w:r>
      <w:r w:rsidRPr="003666E3">
        <w:rPr>
          <w:b/>
          <w:bCs/>
        </w:rPr>
        <w:t>ne seront pas transmis au comité d’évaluation</w:t>
      </w:r>
      <w:r w:rsidRPr="002C4432">
        <w:t xml:space="preserve">. Tout document justificatif soutenant une demande d’exception et soumis dans une autre langue que le français ou l’anglais doit être accompagné d’une traduction. </w:t>
      </w:r>
    </w:p>
    <w:p w14:paraId="2F496989" w14:textId="527DED02" w:rsidR="003666E3" w:rsidRPr="005612EA" w:rsidRDefault="003666E3" w:rsidP="009176DD">
      <w:r>
        <w:t>{Page 12}</w:t>
      </w:r>
    </w:p>
    <w:p w14:paraId="2DD9AAE1" w14:textId="5A9B3148" w:rsidR="00BE61D9" w:rsidRPr="002C4432" w:rsidRDefault="00BE61D9" w:rsidP="009176DD">
      <w:r w:rsidRPr="002C4432">
        <w:t xml:space="preserve">La personne candidate qui souhaite se prévaloir d’une </w:t>
      </w:r>
      <w:r w:rsidRPr="002C4432">
        <w:rPr>
          <w:b/>
          <w:bCs/>
        </w:rPr>
        <w:t>mesure d’exception concernant le milieu de supervision ou de cosupervision</w:t>
      </w:r>
      <w:r w:rsidRPr="002C4432">
        <w:t xml:space="preserve"> (voir les sections 3.5 et 3.6) doit fournir</w:t>
      </w:r>
      <w:r w:rsidR="009D1EE2">
        <w:t>:</w:t>
      </w:r>
      <w:r w:rsidRPr="002C4432">
        <w:t xml:space="preserve"> </w:t>
      </w:r>
    </w:p>
    <w:p w14:paraId="127D3CA7" w14:textId="444DDABA" w:rsidR="00BE61D9" w:rsidRPr="003666E3" w:rsidRDefault="00BE61D9" w:rsidP="009176DD">
      <w:pPr>
        <w:pStyle w:val="Paragraphedeliste"/>
        <w:numPr>
          <w:ilvl w:val="0"/>
          <w:numId w:val="38"/>
        </w:numPr>
        <w:rPr>
          <w:b/>
          <w:bCs/>
        </w:rPr>
      </w:pPr>
      <w:r w:rsidRPr="003666E3">
        <w:rPr>
          <w:b/>
          <w:bCs/>
        </w:rPr>
        <w:t>Justification à la mesure d’exception</w:t>
      </w:r>
      <w:r w:rsidRPr="4E7F8536">
        <w:t xml:space="preserve"> (1 page maximum)</w:t>
      </w:r>
      <w:r w:rsidR="009D1EE2">
        <w:t>:</w:t>
      </w:r>
      <w:r w:rsidRPr="4E7F8536">
        <w:t xml:space="preserve"> la personne candidate doit démontrer que sa mobilité est restreinte de manière exceptionnelle pour des raisons médicales ou en raison d’un handicap ou d’obligations familiales majeures. Elle doit également démontrer l’impossibilité que le stage s’effectue dans un autre établissement que celui qui a décerné le doctorat ou qu’il soit supervisé par une autre personne que celle qui a dirigé les études doctorales. Ce document doit être joint à la section </w:t>
      </w:r>
      <w:r w:rsidRPr="00AE220E">
        <w:t>«</w:t>
      </w:r>
      <w:r w:rsidR="078C9BDA" w:rsidRPr="4E7F8536">
        <w:t>Préadmissibilité</w:t>
      </w:r>
      <w:r w:rsidRPr="00AE220E">
        <w:t>»</w:t>
      </w:r>
      <w:r w:rsidRPr="4E7F8536">
        <w:t xml:space="preserve"> du formulaire. </w:t>
      </w:r>
      <w:r w:rsidRPr="003666E3">
        <w:rPr>
          <w:b/>
          <w:bCs/>
        </w:rPr>
        <w:t xml:space="preserve">Il ne sera pas transmis au comité d’évaluation. </w:t>
      </w:r>
    </w:p>
    <w:p w14:paraId="107CF9BC" w14:textId="13692F79" w:rsidR="00463747" w:rsidRPr="002C4432" w:rsidRDefault="00BE61D9" w:rsidP="009176DD">
      <w:pPr>
        <w:pStyle w:val="Paragraphedeliste"/>
        <w:numPr>
          <w:ilvl w:val="0"/>
          <w:numId w:val="38"/>
        </w:numPr>
      </w:pPr>
      <w:r w:rsidRPr="003666E3">
        <w:rPr>
          <w:b/>
          <w:bCs/>
        </w:rPr>
        <w:t>Documents justificatifs</w:t>
      </w:r>
      <w:r w:rsidR="009D485B" w:rsidRPr="003666E3">
        <w:rPr>
          <w:b/>
          <w:bCs/>
        </w:rPr>
        <w:t xml:space="preserve"> appuyant la demande d’exception</w:t>
      </w:r>
      <w:r w:rsidR="00F64AE4" w:rsidRPr="4E7F8536">
        <w:t xml:space="preserve"> (5 pages maximum)</w:t>
      </w:r>
      <w:r w:rsidR="009D1EE2">
        <w:t>:</w:t>
      </w:r>
      <w:r w:rsidRPr="4E7F8536">
        <w:t xml:space="preserve"> p. ex., attestation médicale, reconnaissance de handicap, certificat de naissance de l’enfant, demande de crédit d’impôt pour aidant naturel, document ou lettre officielle de l’employeur, etc.</w:t>
      </w:r>
      <w:r w:rsidR="009D485B" w:rsidRPr="4E7F8536">
        <w:t xml:space="preserve"> Ces documents</w:t>
      </w:r>
      <w:r w:rsidRPr="4E7F8536">
        <w:t xml:space="preserve"> doivent être joints dans la section </w:t>
      </w:r>
      <w:r w:rsidRPr="00AE220E">
        <w:t>«</w:t>
      </w:r>
      <w:r w:rsidR="4E8588C1" w:rsidRPr="4E7F8536">
        <w:t>Préadmissibilité</w:t>
      </w:r>
      <w:r w:rsidRPr="00AE220E">
        <w:t>»</w:t>
      </w:r>
      <w:r w:rsidR="469ABB85" w:rsidRPr="4E7F8536">
        <w:t xml:space="preserve"> du formulaire</w:t>
      </w:r>
      <w:r w:rsidRPr="4E7F8536">
        <w:t xml:space="preserve">. </w:t>
      </w:r>
      <w:r w:rsidRPr="003666E3">
        <w:rPr>
          <w:b/>
          <w:bCs/>
        </w:rPr>
        <w:t>Ils ne seront pas transmis au comité</w:t>
      </w:r>
      <w:r w:rsidR="008718B2" w:rsidRPr="003666E3">
        <w:rPr>
          <w:b/>
          <w:bCs/>
        </w:rPr>
        <w:t xml:space="preserve"> </w:t>
      </w:r>
      <w:r w:rsidRPr="003666E3">
        <w:rPr>
          <w:b/>
          <w:bCs/>
        </w:rPr>
        <w:t>d’évaluation</w:t>
      </w:r>
      <w:r w:rsidRPr="4E7F8536">
        <w:t xml:space="preserve">. Tout document justificatif soutenant une demande d’exception et soumis dans une autre langue que le français ou l’anglais doit être accompagné d’une traduction. </w:t>
      </w:r>
    </w:p>
    <w:p w14:paraId="75668B69" w14:textId="6D23C5BD" w:rsidR="009D0B48" w:rsidRPr="002C4432" w:rsidRDefault="00BE61D9" w:rsidP="00F9389E">
      <w:pPr>
        <w:pStyle w:val="Titre3"/>
        <w:rPr>
          <w:szCs w:val="36"/>
        </w:rPr>
      </w:pPr>
      <w:bookmarkStart w:id="32" w:name="_Toc233714309"/>
      <w:r w:rsidRPr="00E079EC">
        <w:t xml:space="preserve">Documents requis </w:t>
      </w:r>
      <w:r w:rsidR="00BB3B86" w:rsidRPr="00E079EC">
        <w:t xml:space="preserve">de </w:t>
      </w:r>
      <w:r w:rsidRPr="00E079EC">
        <w:t xml:space="preserve">la (co)superviseure ou </w:t>
      </w:r>
      <w:r w:rsidR="00BB3B86" w:rsidRPr="00E079EC">
        <w:t>du</w:t>
      </w:r>
      <w:r w:rsidR="00BB3B86" w:rsidRPr="002C4432">
        <w:t xml:space="preserve"> </w:t>
      </w:r>
      <w:r w:rsidRPr="002C4432">
        <w:t>(co)superviseur</w:t>
      </w:r>
      <w:bookmarkEnd w:id="32"/>
    </w:p>
    <w:p w14:paraId="5030DD89" w14:textId="310FD0B9" w:rsidR="00BE61D9" w:rsidRPr="002C4432" w:rsidRDefault="797AE966" w:rsidP="009176DD">
      <w:r w:rsidRPr="002C4432">
        <w:t>La personne candidate doit identifier, à la section «Milieu d’accueil» du formulaire, la superviseure ou le superviseur du stage postdoctoral, ainsi que la cosuperviseure ou le cosuperviseur, le cas échéant</w:t>
      </w:r>
      <w:r w:rsidR="5C1102F9" w:rsidRPr="002C4432">
        <w:t>,</w:t>
      </w:r>
      <w:r w:rsidR="5D68E758" w:rsidRPr="002C4432">
        <w:t xml:space="preserve"> et </w:t>
      </w:r>
      <w:r w:rsidR="4E6CB15A" w:rsidRPr="002C4432">
        <w:t xml:space="preserve">leur </w:t>
      </w:r>
      <w:r w:rsidR="5D68E758" w:rsidRPr="002C4432">
        <w:t>envoyer une demande de consentement</w:t>
      </w:r>
      <w:r w:rsidR="009E72B0" w:rsidRPr="002C4432">
        <w:t xml:space="preserve"> en cliquant sur le bouton </w:t>
      </w:r>
      <w:r w:rsidR="00B648EA">
        <w:t>«</w:t>
      </w:r>
      <w:r w:rsidR="009E72B0" w:rsidRPr="002C4432">
        <w:t>Envoyer une demande de consentement</w:t>
      </w:r>
      <w:r w:rsidR="00B648EA">
        <w:t>»</w:t>
      </w:r>
      <w:r w:rsidR="0BB39B03" w:rsidRPr="002C4432">
        <w:t xml:space="preserve"> (ces personnes </w:t>
      </w:r>
      <w:r w:rsidRPr="002C4432">
        <w:t>doivent</w:t>
      </w:r>
      <w:r w:rsidR="0BB39B03" w:rsidRPr="002C4432">
        <w:t>,</w:t>
      </w:r>
      <w:r w:rsidRPr="002C4432">
        <w:t xml:space="preserve"> au préalable</w:t>
      </w:r>
      <w:r w:rsidR="0BB39B03" w:rsidRPr="002C4432">
        <w:t>,</w:t>
      </w:r>
      <w:r w:rsidRPr="002C4432">
        <w:t xml:space="preserve"> se créer un compte FRQnet</w:t>
      </w:r>
      <w:r w:rsidR="0BB39B03" w:rsidRPr="002C4432">
        <w:t>, si ce n’est pas déjà fait)</w:t>
      </w:r>
      <w:r w:rsidRPr="002C4432">
        <w:t xml:space="preserve">. Un courriel </w:t>
      </w:r>
      <w:r w:rsidR="5EF88E15" w:rsidRPr="002C4432">
        <w:t xml:space="preserve">est </w:t>
      </w:r>
      <w:r w:rsidR="00B43956" w:rsidRPr="002C4432">
        <w:t>alors</w:t>
      </w:r>
      <w:r w:rsidR="5EF88E15" w:rsidRPr="002C4432">
        <w:t xml:space="preserve"> acheminé aux personnes identifiées</w:t>
      </w:r>
      <w:r w:rsidRPr="002C4432">
        <w:t xml:space="preserve"> et un </w:t>
      </w:r>
      <w:r w:rsidRPr="002C4432">
        <w:rPr>
          <w:b/>
          <w:bCs/>
        </w:rPr>
        <w:t xml:space="preserve">formulaire </w:t>
      </w:r>
      <w:r w:rsidR="6FDE33F9" w:rsidRPr="002C4432">
        <w:rPr>
          <w:b/>
          <w:bCs/>
        </w:rPr>
        <w:t xml:space="preserve">de </w:t>
      </w:r>
      <w:r w:rsidR="6FDE33F9" w:rsidRPr="002C4432">
        <w:rPr>
          <w:b/>
          <w:bCs/>
        </w:rPr>
        <w:lastRenderedPageBreak/>
        <w:t>consentement</w:t>
      </w:r>
      <w:r w:rsidR="6FDE33F9" w:rsidRPr="002C4432">
        <w:t xml:space="preserve"> </w:t>
      </w:r>
      <w:r w:rsidRPr="002C4432">
        <w:t xml:space="preserve">s’ajoute automatiquement dans </w:t>
      </w:r>
      <w:r w:rsidR="684A35D7" w:rsidRPr="002C4432">
        <w:t>l’Espace demande de</w:t>
      </w:r>
      <w:r w:rsidR="54B41698" w:rsidRPr="002C4432">
        <w:t xml:space="preserve"> </w:t>
      </w:r>
      <w:r w:rsidRPr="002C4432">
        <w:t xml:space="preserve">leur </w:t>
      </w:r>
      <w:r w:rsidR="484A4A77" w:rsidRPr="002C4432">
        <w:t>portail</w:t>
      </w:r>
      <w:r w:rsidRPr="002C4432">
        <w:t xml:space="preserve"> FRQnet. </w:t>
      </w:r>
    </w:p>
    <w:p w14:paraId="3528C3E6" w14:textId="46C723A5" w:rsidR="006806AD" w:rsidRPr="002C4432" w:rsidRDefault="037609E3" w:rsidP="009176DD">
      <w:r w:rsidRPr="002C4432">
        <w:t>La superviseure ou le superviseur du stage postdoctoral, ainsi que la cosuperviseure ou le cosuperviseur, le cas échéant, doivent également joindre, dans l</w:t>
      </w:r>
      <w:r w:rsidR="4DB36FE7" w:rsidRPr="002C4432">
        <w:t>’Espace demande de leur</w:t>
      </w:r>
      <w:r w:rsidRPr="002C4432">
        <w:t xml:space="preserve"> portail FRQnet, une </w:t>
      </w:r>
      <w:r w:rsidRPr="002C4432">
        <w:rPr>
          <w:b/>
          <w:bCs/>
        </w:rPr>
        <w:t>lettre d’acceptation</w:t>
      </w:r>
      <w:r w:rsidRPr="002C4432">
        <w:t xml:space="preserve"> (2 pages maximum</w:t>
      </w:r>
      <w:r w:rsidR="07612DBA" w:rsidRPr="002C4432">
        <w:t xml:space="preserve"> pour chaque lettre</w:t>
      </w:r>
      <w:r w:rsidRPr="002C4432">
        <w:t xml:space="preserve">). </w:t>
      </w:r>
      <w:r w:rsidR="6A4BF531" w:rsidRPr="002C4432">
        <w:t xml:space="preserve">En effet, le Fonds s'attend à ce que la superviseure ou le superviseur du stage, ainsi que la cosuperviseure ou le cosuperviseur, le cas échéant, accompagnent le développement de la future carrière de la personne candidate. </w:t>
      </w:r>
      <w:r w:rsidR="6A4BF531" w:rsidRPr="00F9389E">
        <w:rPr>
          <w:b/>
          <w:bCs/>
        </w:rPr>
        <w:t>La lettre d’acceptation jointe au formulaire n’est pas une lettre de recommandation.</w:t>
      </w:r>
      <w:r w:rsidR="6A4BF531" w:rsidRPr="002C4432">
        <w:t xml:space="preserve"> Elle doit uniquement présenter les informations suivantes</w:t>
      </w:r>
      <w:r w:rsidR="009D1EE2">
        <w:t>:</w:t>
      </w:r>
      <w:r w:rsidR="6A4BF531" w:rsidRPr="002C4432">
        <w:t xml:space="preserve"> </w:t>
      </w:r>
    </w:p>
    <w:p w14:paraId="5DC03A3B" w14:textId="66073D24" w:rsidR="00105F2A" w:rsidRPr="005612EA" w:rsidRDefault="00105F2A" w:rsidP="00105F2A">
      <w:r>
        <w:t>{Page 13}</w:t>
      </w:r>
    </w:p>
    <w:p w14:paraId="77F010B7" w14:textId="77777777" w:rsidR="006806AD" w:rsidRPr="002C4432" w:rsidRDefault="006806AD" w:rsidP="009176DD">
      <w:pPr>
        <w:pStyle w:val="Paragraphedeliste"/>
        <w:numPr>
          <w:ilvl w:val="0"/>
          <w:numId w:val="40"/>
        </w:numPr>
      </w:pPr>
      <w:r w:rsidRPr="002C4432">
        <w:t xml:space="preserve">la façon dont le projet de recherche de la personne candidate s’inscrit dans ses activités de recherche </w:t>
      </w:r>
    </w:p>
    <w:p w14:paraId="4FBE253B" w14:textId="77777777" w:rsidR="006806AD" w:rsidRPr="002C4432" w:rsidRDefault="006806AD" w:rsidP="009176DD">
      <w:pPr>
        <w:pStyle w:val="Paragraphedeliste"/>
        <w:numPr>
          <w:ilvl w:val="0"/>
          <w:numId w:val="40"/>
        </w:numPr>
      </w:pPr>
      <w:r w:rsidRPr="002C4432">
        <w:t>le type d’encadrement offert à la personne candidate et les activités prévues pour favoriser son intégration</w:t>
      </w:r>
    </w:p>
    <w:p w14:paraId="427EAD3D" w14:textId="77777777" w:rsidR="006806AD" w:rsidRPr="002C4432" w:rsidRDefault="006806AD" w:rsidP="009176DD">
      <w:pPr>
        <w:pStyle w:val="Paragraphedeliste"/>
        <w:numPr>
          <w:ilvl w:val="0"/>
          <w:numId w:val="40"/>
        </w:numPr>
      </w:pPr>
      <w:r w:rsidRPr="002C4432">
        <w:t>les ressources matérielles à la disposition de la personne candidate pour la réalisation de son projet, le cas échéant.</w:t>
      </w:r>
    </w:p>
    <w:p w14:paraId="4031CA62" w14:textId="77777777" w:rsidR="007E513D" w:rsidRPr="00F9389E" w:rsidRDefault="007E513D" w:rsidP="009176DD">
      <w:r w:rsidRPr="00F9389E">
        <w:t xml:space="preserve">Il est attendu que la lettre d’acceptation rédigée par la (co)superviseure ou le (co)superviseur comporte les marqueurs formels caractéristiques d’un document officiel (notamment : en-tête de l’établissement, signature). </w:t>
      </w:r>
    </w:p>
    <w:p w14:paraId="7BF228B3" w14:textId="77777777" w:rsidR="00857BCB" w:rsidRDefault="786C1469" w:rsidP="009176DD">
      <w:r w:rsidRPr="002C4432">
        <w:rPr>
          <w:b/>
          <w:bCs/>
        </w:rPr>
        <w:t xml:space="preserve">Le consentement </w:t>
      </w:r>
      <w:r w:rsidR="1EBA9B00" w:rsidRPr="002C4432">
        <w:rPr>
          <w:b/>
          <w:bCs/>
        </w:rPr>
        <w:t xml:space="preserve">et la lettre </w:t>
      </w:r>
      <w:r w:rsidR="1109F812" w:rsidRPr="002C4432">
        <w:rPr>
          <w:b/>
          <w:bCs/>
        </w:rPr>
        <w:t>doi</w:t>
      </w:r>
      <w:r w:rsidR="037609E3" w:rsidRPr="002C4432">
        <w:rPr>
          <w:b/>
          <w:bCs/>
        </w:rPr>
        <w:t>vent</w:t>
      </w:r>
      <w:r w:rsidR="1109F812" w:rsidRPr="002C4432">
        <w:rPr>
          <w:b/>
          <w:bCs/>
        </w:rPr>
        <w:t xml:space="preserve"> </w:t>
      </w:r>
      <w:r w:rsidR="615191AF" w:rsidRPr="002C4432">
        <w:rPr>
          <w:b/>
          <w:bCs/>
        </w:rPr>
        <w:t>être transmis</w:t>
      </w:r>
      <w:r w:rsidR="615191AF" w:rsidRPr="002C4432">
        <w:t xml:space="preserve"> </w:t>
      </w:r>
      <w:r w:rsidR="615191AF" w:rsidRPr="002C4432">
        <w:rPr>
          <w:b/>
          <w:bCs/>
        </w:rPr>
        <w:t>avant l</w:t>
      </w:r>
      <w:r w:rsidR="60D03451" w:rsidRPr="002C4432">
        <w:rPr>
          <w:b/>
          <w:bCs/>
        </w:rPr>
        <w:t>a</w:t>
      </w:r>
      <w:r w:rsidR="615191AF" w:rsidRPr="002C4432">
        <w:rPr>
          <w:b/>
          <w:bCs/>
        </w:rPr>
        <w:t xml:space="preserve"> transmission du formulaire de demande de bourse par la personne candidate</w:t>
      </w:r>
      <w:r w:rsidR="46F6D55B" w:rsidRPr="002C4432">
        <w:t xml:space="preserve">. </w:t>
      </w:r>
    </w:p>
    <w:p w14:paraId="7DAF9F71" w14:textId="76505ACE" w:rsidR="00BE61D9" w:rsidRPr="002C4432" w:rsidRDefault="00857BCB" w:rsidP="009176DD">
      <w:r w:rsidRPr="00857BCB">
        <w:t xml:space="preserve">Il est possible d’effectuer un suivi en tout temps dans la section «Milieu d’accueil» du formulaire de demande : si le consentement et la lettre ont été transmis par la (co)superviseure ou le (co)superviseur, une date de transmission apparaîtra dans la colonne «Statut du consentement et de la lettre d'acceptation». </w:t>
      </w:r>
      <w:r w:rsidR="46F6D55B" w:rsidRPr="002C4432">
        <w:t xml:space="preserve">Dans le cas contraire, la personne candidate ne pourra pas transmettre son formulaire et sa demande sera non recevable. Il est de la responsabilité de la personne candidate de fournir à la </w:t>
      </w:r>
      <w:r w:rsidR="5F6E3905" w:rsidRPr="002C4432">
        <w:t xml:space="preserve">superviseure </w:t>
      </w:r>
      <w:r w:rsidR="160FD4F7" w:rsidRPr="002C4432">
        <w:t>ou</w:t>
      </w:r>
      <w:r w:rsidR="5F6E3905" w:rsidRPr="002C4432">
        <w:t xml:space="preserve"> au superviseur, et</w:t>
      </w:r>
      <w:r w:rsidR="160FD4F7" w:rsidRPr="002C4432">
        <w:t xml:space="preserve"> le cas échéant, à la cosuperviseure ou au cosuperviseur,</w:t>
      </w:r>
      <w:r w:rsidR="5F6E3905" w:rsidRPr="002C4432">
        <w:t xml:space="preserve"> </w:t>
      </w:r>
      <w:r w:rsidR="46F6D55B" w:rsidRPr="002C4432">
        <w:t xml:space="preserve">les instructions nécessaires à la création d’un compte FRQnet, et de veiller à ce que le consentement </w:t>
      </w:r>
      <w:r w:rsidR="037609E3" w:rsidRPr="002C4432">
        <w:t xml:space="preserve">et la lettre d’acceptation </w:t>
      </w:r>
      <w:r w:rsidR="46F6D55B" w:rsidRPr="002C4432">
        <w:t>soi</w:t>
      </w:r>
      <w:r w:rsidR="700D3A2D" w:rsidRPr="002C4432">
        <w:t>en</w:t>
      </w:r>
      <w:r w:rsidR="46F6D55B" w:rsidRPr="002C4432">
        <w:t>t transmis dans les délais prescrits. </w:t>
      </w:r>
    </w:p>
    <w:p w14:paraId="033271D7" w14:textId="2A1582F3" w:rsidR="00BE61D9" w:rsidRPr="002C4432" w:rsidRDefault="00BE61D9" w:rsidP="009176DD">
      <w:r w:rsidRPr="002C4432">
        <w:t xml:space="preserve">Une fois le </w:t>
      </w:r>
      <w:r w:rsidR="00855EA8" w:rsidRPr="002C4432">
        <w:t xml:space="preserve">consentement </w:t>
      </w:r>
      <w:r w:rsidRPr="002C4432">
        <w:t xml:space="preserve">et la lettre transmis par chaque superviseure ou superviseur, il ne sera plus possible d’y apporter des modifications. </w:t>
      </w:r>
    </w:p>
    <w:p w14:paraId="2029B7FF" w14:textId="605BA1E7" w:rsidR="003C6228" w:rsidRPr="00E079EC" w:rsidRDefault="00BE61D9" w:rsidP="00F9389E">
      <w:pPr>
        <w:pStyle w:val="Titre3"/>
      </w:pPr>
      <w:bookmarkStart w:id="33" w:name="_Toc233714310"/>
      <w:r w:rsidRPr="00E079EC">
        <w:lastRenderedPageBreak/>
        <w:t>Avis d’admissibilité</w:t>
      </w:r>
      <w:bookmarkEnd w:id="33"/>
      <w:r w:rsidRPr="00E079EC">
        <w:tab/>
      </w:r>
    </w:p>
    <w:p w14:paraId="32B7B0D1" w14:textId="40559773" w:rsidR="00BE61D9" w:rsidRPr="002C4432" w:rsidRDefault="00BE61D9" w:rsidP="009176DD">
      <w:r w:rsidRPr="002C4432">
        <w:t xml:space="preserve">Après la réception des demandes, le Fonds en vérifie l’admissibilité. Un avis sera envoyé par courriel, au plus tard en décembre suivant la date limite du concours, pour informer la personne candidate du résultat de l’analyse de l’admissibilité de </w:t>
      </w:r>
      <w:r w:rsidR="000E4A16">
        <w:t>sa demande</w:t>
      </w:r>
      <w:r w:rsidRPr="002C4432">
        <w:t xml:space="preserve"> et, s’il y a lieu, de sa transmission au comité d’évaluation. La demande transmise au comité d’évaluation peut néanmoins </w:t>
      </w:r>
      <w:r w:rsidR="00EC697E" w:rsidRPr="00EC697E">
        <w:t>faire l’objet d’une décision de non-admissibilité</w:t>
      </w:r>
      <w:r w:rsidRPr="002C4432">
        <w:t xml:space="preserve"> en tout temps.</w:t>
      </w:r>
    </w:p>
    <w:p w14:paraId="230225DF" w14:textId="2EEABCED" w:rsidR="003C6228" w:rsidRPr="009176DD" w:rsidRDefault="00BE61D9" w:rsidP="00F9389E">
      <w:pPr>
        <w:pStyle w:val="Titre2"/>
      </w:pPr>
      <w:bookmarkStart w:id="34" w:name="_Toc202861982"/>
      <w:bookmarkStart w:id="35" w:name="_Toc233714311"/>
      <w:r w:rsidRPr="009176DD">
        <w:t>Évaluation</w:t>
      </w:r>
      <w:bookmarkEnd w:id="34"/>
      <w:bookmarkEnd w:id="35"/>
      <w:r w:rsidRPr="009176DD">
        <w:t xml:space="preserve"> </w:t>
      </w:r>
    </w:p>
    <w:p w14:paraId="0A38A2AB" w14:textId="4E421447" w:rsidR="00244465" w:rsidRPr="007F0C29" w:rsidRDefault="00244465" w:rsidP="009176DD">
      <w:r w:rsidRPr="002C4432">
        <w:t>Le processus d’évaluation des demandes de financement est décrit à la section 4 des RGC.</w:t>
      </w:r>
    </w:p>
    <w:p w14:paraId="4C0703F0" w14:textId="53167AE9" w:rsidR="00BE61D9" w:rsidRPr="002C4432" w:rsidRDefault="00587254" w:rsidP="009176DD">
      <w:r w:rsidRPr="002C4432">
        <w:rPr>
          <w:b/>
          <w:bCs/>
        </w:rPr>
        <w:t>Critères d’évaluation, sous-critères et pondération</w:t>
      </w:r>
      <w:r w:rsidR="003445D5">
        <w:rPr>
          <w:b/>
          <w:bCs/>
        </w:rPr>
        <w:t>s</w:t>
      </w:r>
      <w:r w:rsidR="009D1EE2">
        <w:rPr>
          <w:b/>
          <w:bCs/>
        </w:rPr>
        <w:t>:</w:t>
      </w:r>
    </w:p>
    <w:p w14:paraId="442EE900" w14:textId="5F3274CF" w:rsidR="00BE61D9" w:rsidRPr="002C4432" w:rsidRDefault="00BE61D9" w:rsidP="009176DD">
      <w:pPr>
        <w:rPr>
          <w:b/>
          <w:bCs/>
        </w:rPr>
      </w:pPr>
      <w:r w:rsidRPr="002C4432">
        <w:rPr>
          <w:b/>
          <w:bCs/>
        </w:rPr>
        <w:t xml:space="preserve">Dossier académique et </w:t>
      </w:r>
      <w:r w:rsidR="005A0D5C" w:rsidRPr="002C4432">
        <w:rPr>
          <w:b/>
          <w:bCs/>
        </w:rPr>
        <w:t xml:space="preserve">réalisations </w:t>
      </w:r>
      <w:r w:rsidRPr="002C4432">
        <w:rPr>
          <w:b/>
          <w:bCs/>
        </w:rPr>
        <w:t>(35 points)</w:t>
      </w:r>
    </w:p>
    <w:p w14:paraId="7A7BBE42" w14:textId="77777777" w:rsidR="001F42E9" w:rsidRPr="002C4432" w:rsidRDefault="00BE61D9" w:rsidP="009176DD">
      <w:pPr>
        <w:pStyle w:val="Paragraphedeliste"/>
        <w:numPr>
          <w:ilvl w:val="0"/>
          <w:numId w:val="41"/>
        </w:numPr>
      </w:pPr>
      <w:r w:rsidRPr="002C4432">
        <w:t>Reconnaissances (prix, distinctions et bourses obtenus)</w:t>
      </w:r>
    </w:p>
    <w:p w14:paraId="7238A307" w14:textId="4DF1EBE5" w:rsidR="001F42E9" w:rsidRPr="002C4432" w:rsidRDefault="00BE61D9" w:rsidP="009176DD">
      <w:pPr>
        <w:pStyle w:val="Paragraphedeliste"/>
        <w:numPr>
          <w:ilvl w:val="0"/>
          <w:numId w:val="41"/>
        </w:numPr>
      </w:pPr>
      <w:r w:rsidRPr="002C4432">
        <w:t xml:space="preserve">Réalisations (d’ordre scientifique, professionnel, social, etc.) et expériences pertinentes (en lien avec le projet </w:t>
      </w:r>
      <w:r w:rsidR="00643C39" w:rsidRPr="002C4432">
        <w:t xml:space="preserve">de recherche </w:t>
      </w:r>
      <w:r w:rsidRPr="002C4432">
        <w:t>ou le parcours)</w:t>
      </w:r>
    </w:p>
    <w:p w14:paraId="78719E08" w14:textId="77777777" w:rsidR="001F42E9" w:rsidRPr="002C4432" w:rsidRDefault="00BE61D9" w:rsidP="009176DD">
      <w:pPr>
        <w:pStyle w:val="Paragraphedeliste"/>
        <w:numPr>
          <w:ilvl w:val="0"/>
          <w:numId w:val="41"/>
        </w:numPr>
      </w:pPr>
      <w:r w:rsidRPr="002C4432">
        <w:t>Capacité d’engagement et de leadership (dans et hors du milieu académique)</w:t>
      </w:r>
    </w:p>
    <w:p w14:paraId="2C857D36" w14:textId="4F3D2998" w:rsidR="00BE61D9" w:rsidRPr="002C4432" w:rsidRDefault="00BE61D9" w:rsidP="009176DD">
      <w:pPr>
        <w:pStyle w:val="Paragraphedeliste"/>
        <w:numPr>
          <w:ilvl w:val="0"/>
          <w:numId w:val="41"/>
        </w:numPr>
      </w:pPr>
      <w:r w:rsidRPr="002C4432">
        <w:t>Aptitudes à faire dialoguer la science et la société</w:t>
      </w:r>
    </w:p>
    <w:p w14:paraId="70DE1299" w14:textId="56DEABEB" w:rsidR="00A61470" w:rsidRPr="005612EA" w:rsidRDefault="00A61470" w:rsidP="00F9389E">
      <w:r>
        <w:t>{Page</w:t>
      </w:r>
      <w:r w:rsidR="00474373">
        <w:t>s</w:t>
      </w:r>
      <w:r>
        <w:t xml:space="preserve"> 14</w:t>
      </w:r>
      <w:r w:rsidR="00474373">
        <w:t xml:space="preserve"> à 16</w:t>
      </w:r>
      <w:r>
        <w:t>}</w:t>
      </w:r>
    </w:p>
    <w:p w14:paraId="18214D46" w14:textId="77777777" w:rsidR="00BE61D9" w:rsidRPr="002C4432" w:rsidRDefault="00BE61D9" w:rsidP="009176DD">
      <w:pPr>
        <w:rPr>
          <w:b/>
          <w:bCs/>
        </w:rPr>
      </w:pPr>
      <w:r w:rsidRPr="002C4432">
        <w:rPr>
          <w:b/>
          <w:bCs/>
        </w:rPr>
        <w:t>Projet de recherche (50 points)</w:t>
      </w:r>
    </w:p>
    <w:p w14:paraId="0D7DDCFB" w14:textId="77777777" w:rsidR="001F42E9" w:rsidRPr="002C4432" w:rsidRDefault="00BE61D9" w:rsidP="009176DD">
      <w:pPr>
        <w:pStyle w:val="Paragraphedeliste"/>
        <w:numPr>
          <w:ilvl w:val="0"/>
          <w:numId w:val="42"/>
        </w:numPr>
      </w:pPr>
      <w:r w:rsidRPr="002C4432">
        <w:t>Originalité du projet et potentiel de contribution à l’avancement des connaissances</w:t>
      </w:r>
    </w:p>
    <w:p w14:paraId="66A93F53" w14:textId="77777777" w:rsidR="001F42E9" w:rsidRPr="002C4432" w:rsidRDefault="00BE61D9" w:rsidP="009176DD">
      <w:pPr>
        <w:pStyle w:val="Paragraphedeliste"/>
        <w:numPr>
          <w:ilvl w:val="0"/>
          <w:numId w:val="42"/>
        </w:numPr>
      </w:pPr>
      <w:r w:rsidRPr="002C4432">
        <w:t>Clarté et cohérence de la problématique de recherche</w:t>
      </w:r>
    </w:p>
    <w:p w14:paraId="41080096" w14:textId="3488D88B" w:rsidR="001F42E9" w:rsidRPr="002C4432" w:rsidRDefault="00BE61D9" w:rsidP="009176DD">
      <w:pPr>
        <w:pStyle w:val="Paragraphedeliste"/>
        <w:numPr>
          <w:ilvl w:val="0"/>
          <w:numId w:val="42"/>
        </w:numPr>
      </w:pPr>
      <w:r w:rsidRPr="002C4432">
        <w:t xml:space="preserve">Pertinence </w:t>
      </w:r>
      <w:r w:rsidR="00962E7D" w:rsidRPr="002C4432">
        <w:t xml:space="preserve">du cadre conceptuel et </w:t>
      </w:r>
      <w:r w:rsidRPr="002C4432">
        <w:t>de la méthodologie</w:t>
      </w:r>
      <w:r w:rsidR="00326CBD" w:rsidRPr="002C4432">
        <w:t xml:space="preserve"> </w:t>
      </w:r>
    </w:p>
    <w:p w14:paraId="31802A46" w14:textId="2B8C50E4" w:rsidR="00BE61D9" w:rsidRPr="002C4432" w:rsidRDefault="00BE61D9" w:rsidP="009176DD">
      <w:pPr>
        <w:pStyle w:val="Paragraphedeliste"/>
        <w:numPr>
          <w:ilvl w:val="0"/>
          <w:numId w:val="42"/>
        </w:numPr>
      </w:pPr>
      <w:r w:rsidRPr="002C4432">
        <w:t>Faisabilité du projet et réalisme du calendrier</w:t>
      </w:r>
    </w:p>
    <w:p w14:paraId="1CE29FCA" w14:textId="77777777" w:rsidR="00BE61D9" w:rsidRPr="002C4432" w:rsidRDefault="00BE61D9" w:rsidP="009176DD">
      <w:pPr>
        <w:rPr>
          <w:b/>
          <w:bCs/>
        </w:rPr>
      </w:pPr>
      <w:r w:rsidRPr="002C4432">
        <w:rPr>
          <w:b/>
          <w:bCs/>
        </w:rPr>
        <w:t>Milieu d’accueil (15 points)</w:t>
      </w:r>
    </w:p>
    <w:p w14:paraId="4D753E19" w14:textId="77777777" w:rsidR="001F42E9" w:rsidRPr="002C4432" w:rsidRDefault="00BE61D9" w:rsidP="009176DD">
      <w:pPr>
        <w:pStyle w:val="Paragraphedeliste"/>
        <w:numPr>
          <w:ilvl w:val="0"/>
          <w:numId w:val="43"/>
        </w:numPr>
      </w:pPr>
      <w:r w:rsidRPr="002C4432">
        <w:lastRenderedPageBreak/>
        <w:t>Justification et pertinence du ou des milieux d’accueil choisis pour la réalisation du projet, incluant le plan d’intégration</w:t>
      </w:r>
    </w:p>
    <w:p w14:paraId="7C4FD189" w14:textId="1470FBB6" w:rsidR="00BE61D9" w:rsidRPr="002C4432" w:rsidRDefault="00BE61D9" w:rsidP="009176DD">
      <w:pPr>
        <w:pStyle w:val="Paragraphedeliste"/>
        <w:numPr>
          <w:ilvl w:val="0"/>
          <w:numId w:val="43"/>
        </w:numPr>
      </w:pPr>
      <w:r w:rsidRPr="002C4432">
        <w:t>Valeur ajoutée pour le développement du plan de carrière</w:t>
      </w:r>
    </w:p>
    <w:p w14:paraId="4AF37406" w14:textId="77777777" w:rsidR="00E542A5" w:rsidRPr="00E542A5" w:rsidRDefault="00E94764" w:rsidP="00E542A5">
      <w:pPr>
        <w:rPr>
          <w:b/>
          <w:bCs/>
        </w:rPr>
      </w:pPr>
      <w:r w:rsidRPr="002C4432">
        <w:rPr>
          <w:b/>
          <w:bCs/>
        </w:rPr>
        <w:t>Total (100 points)</w:t>
      </w:r>
    </w:p>
    <w:p w14:paraId="53A606AC" w14:textId="5EDCCDE0" w:rsidR="00E94764" w:rsidRPr="00F9389E" w:rsidRDefault="00E542A5" w:rsidP="00E542A5">
      <w:r w:rsidRPr="00F9389E">
        <w:t>Seules les demandes ayant obtenu 70 % ou plus peuvent être recommandées pour l’octroi d’une bourse</w:t>
      </w:r>
      <w:r w:rsidR="0007649E">
        <w:t xml:space="preserve"> </w:t>
      </w:r>
      <w:r w:rsidR="0007649E" w:rsidRPr="0007649E">
        <w:t>de formation</w:t>
      </w:r>
      <w:r w:rsidR="00633A4B">
        <w:t xml:space="preserve">. </w:t>
      </w:r>
      <w:r w:rsidR="00633A4B" w:rsidRPr="00633A4B">
        <w:t>Toutefois, l’obtention d’un résultat de 70 % ne garantit pas l’obtention d’une bourse, le nombre de bourses accordées dépendant du budget disponible.</w:t>
      </w:r>
    </w:p>
    <w:p w14:paraId="557DDCF9" w14:textId="1434C9E6" w:rsidR="003C6228" w:rsidRPr="009176DD" w:rsidRDefault="00BE61D9" w:rsidP="00F9389E">
      <w:pPr>
        <w:pStyle w:val="Titre2"/>
        <w:rPr>
          <w:sz w:val="44"/>
          <w:szCs w:val="44"/>
        </w:rPr>
      </w:pPr>
      <w:bookmarkStart w:id="36" w:name="_Toc202861983"/>
      <w:bookmarkStart w:id="37" w:name="_Toc233714312"/>
      <w:r w:rsidRPr="009176DD">
        <w:t>Partenariats</w:t>
      </w:r>
      <w:bookmarkEnd w:id="36"/>
      <w:bookmarkEnd w:id="37"/>
      <w:r w:rsidRPr="009176DD">
        <w:t xml:space="preserve"> </w:t>
      </w:r>
      <w:r w:rsidRPr="009176DD">
        <w:rPr>
          <w:sz w:val="44"/>
          <w:szCs w:val="44"/>
        </w:rPr>
        <w:tab/>
      </w:r>
    </w:p>
    <w:p w14:paraId="64C76435" w14:textId="7AEC64CB" w:rsidR="00BE61D9" w:rsidRPr="002C4432" w:rsidRDefault="00BE61D9" w:rsidP="009176DD">
      <w:r w:rsidRPr="002C4432">
        <w:t xml:space="preserve">La bourse peut être offerte en partenariat. Pour ce faire, la personne candidate doit sélectionner, dans la section «Partenariats» du formulaire de demande, un ou plusieurs partenaires dont les domaines de recherche correspondent à sa thématique de recherche. </w:t>
      </w:r>
      <w:r w:rsidRPr="002C4432">
        <w:rPr>
          <w:b/>
          <w:bCs/>
        </w:rPr>
        <w:t>Elle doit également s’assurer qu’elle répond aux conditions inscrites dans la description du partenaire, le cas échéant.</w:t>
      </w:r>
      <w:r w:rsidRPr="002C4432">
        <w:t xml:space="preserve"> En cas d’octroi, le Fonds transmet aux partenaires sélectionnés les informations permettant d’évaluer la pertinence du partenariat en fonction de leurs priorités stratégiques et de recherche (titre du projet, résumé</w:t>
      </w:r>
      <w:r w:rsidR="004B6FF7">
        <w:t>,</w:t>
      </w:r>
      <w:r w:rsidRPr="002C4432">
        <w:t xml:space="preserve"> domaines de recherche</w:t>
      </w:r>
      <w:r w:rsidR="004B6FF7" w:rsidRPr="004B6FF7">
        <w:t xml:space="preserve"> et bibliographie</w:t>
      </w:r>
      <w:r w:rsidRPr="002C4432">
        <w:t xml:space="preserve">). Si le projet de recherche de la personne candidate est jugé pertinent </w:t>
      </w:r>
      <w:r w:rsidR="003C75F6" w:rsidRPr="003C75F6">
        <w:t xml:space="preserve">et retenu </w:t>
      </w:r>
      <w:r w:rsidRPr="002C4432">
        <w:t xml:space="preserve">par un ou plusieurs partenaires, la bourse sera offerte en partenariat. </w:t>
      </w:r>
    </w:p>
    <w:p w14:paraId="0F82CF57" w14:textId="2248667A" w:rsidR="00FF5E29" w:rsidRPr="009176DD" w:rsidRDefault="00962E7D" w:rsidP="00F9389E">
      <w:pPr>
        <w:pStyle w:val="Titre3"/>
      </w:pPr>
      <w:bookmarkStart w:id="38" w:name="_Toc233714313"/>
      <w:r w:rsidRPr="002C4432">
        <w:t>Partenaire</w:t>
      </w:r>
      <w:r w:rsidR="005023A7">
        <w:t>s</w:t>
      </w:r>
      <w:r w:rsidRPr="002C4432">
        <w:t xml:space="preserve"> du secteur </w:t>
      </w:r>
      <w:r w:rsidR="00F9324C" w:rsidRPr="002C4432">
        <w:t>Nature et technologies</w:t>
      </w:r>
      <w:bookmarkEnd w:id="38"/>
    </w:p>
    <w:tbl>
      <w:tblPr>
        <w:tblStyle w:val="Grilledutableau"/>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2268"/>
        <w:gridCol w:w="6794"/>
      </w:tblGrid>
      <w:tr w:rsidR="008E7947" w:rsidRPr="002C4432" w14:paraId="489A0735" w14:textId="77777777" w:rsidTr="009176DD">
        <w:trPr>
          <w:tblHeader/>
        </w:trPr>
        <w:tc>
          <w:tcPr>
            <w:tcW w:w="2268" w:type="dxa"/>
            <w:shd w:val="clear" w:color="auto" w:fill="44546A" w:themeFill="text2"/>
            <w:vAlign w:val="center"/>
          </w:tcPr>
          <w:p w14:paraId="5EBEE9BE" w14:textId="73D8EC63" w:rsidR="008E7947" w:rsidRPr="002C4432" w:rsidRDefault="008E7947" w:rsidP="00994594">
            <w:pPr>
              <w:spacing w:before="60" w:after="60" w:line="276" w:lineRule="auto"/>
              <w:rPr>
                <w:rFonts w:cs="Arial"/>
                <w:b/>
                <w:bCs/>
                <w:color w:val="FFFFFF" w:themeColor="background1"/>
              </w:rPr>
            </w:pPr>
            <w:r w:rsidRPr="002C4432">
              <w:rPr>
                <w:rFonts w:cs="Arial"/>
                <w:b/>
                <w:bCs/>
                <w:color w:val="FFFFFF" w:themeColor="background1"/>
              </w:rPr>
              <w:t>Partenaire</w:t>
            </w:r>
          </w:p>
        </w:tc>
        <w:tc>
          <w:tcPr>
            <w:tcW w:w="6794" w:type="dxa"/>
            <w:shd w:val="clear" w:color="auto" w:fill="44546A" w:themeFill="text2"/>
            <w:vAlign w:val="center"/>
          </w:tcPr>
          <w:p w14:paraId="5D19FA09" w14:textId="004654DF" w:rsidR="008E7947" w:rsidRPr="002C4432" w:rsidRDefault="008E7947" w:rsidP="00994594">
            <w:pPr>
              <w:spacing w:line="276" w:lineRule="auto"/>
              <w:rPr>
                <w:rFonts w:cs="Arial"/>
                <w:b/>
                <w:bCs/>
                <w:color w:val="FFFFFF" w:themeColor="background1"/>
              </w:rPr>
            </w:pPr>
            <w:r w:rsidRPr="002C4432">
              <w:rPr>
                <w:rFonts w:cs="Arial"/>
                <w:b/>
                <w:bCs/>
                <w:color w:val="FFFFFF" w:themeColor="background1"/>
              </w:rPr>
              <w:t>Description</w:t>
            </w:r>
          </w:p>
        </w:tc>
      </w:tr>
      <w:tr w:rsidR="00F9324C" w:rsidRPr="002C4432" w14:paraId="3448FA7E" w14:textId="77777777" w:rsidTr="008F0A68">
        <w:tc>
          <w:tcPr>
            <w:tcW w:w="2268" w:type="dxa"/>
          </w:tcPr>
          <w:p w14:paraId="7C2D0648" w14:textId="77268CA4" w:rsidR="00F9324C" w:rsidRPr="002C4432" w:rsidRDefault="008E7947" w:rsidP="009176DD">
            <w:r w:rsidRPr="002C4432">
              <w:t>L’Unité de soutien SSA Québec  </w:t>
            </w:r>
            <w:r w:rsidRPr="002C4432">
              <w:br/>
              <w:t>L’Entité nationale de formation de la SRAP </w:t>
            </w:r>
            <w:r w:rsidRPr="002C4432">
              <w:br/>
            </w:r>
          </w:p>
        </w:tc>
        <w:tc>
          <w:tcPr>
            <w:tcW w:w="6794" w:type="dxa"/>
          </w:tcPr>
          <w:p w14:paraId="6656FA14" w14:textId="40F0F652" w:rsidR="00F9324C" w:rsidRPr="002C4432" w:rsidRDefault="00F9324C" w:rsidP="009176DD">
            <w:r w:rsidRPr="002C4432">
              <w:t>Recherche axée avec et pour les patients dans une approche de système de santé apprenant</w:t>
            </w:r>
          </w:p>
          <w:p w14:paraId="31C4D045" w14:textId="77777777" w:rsidR="00F9324C" w:rsidRPr="002C4432" w:rsidRDefault="00F9324C" w:rsidP="009176DD">
            <w:r w:rsidRPr="002C4432">
              <w:t xml:space="preserve">L’Unité de soutien au système de santé apprenant (SSA) Québec est une unité provinciale de la Stratégie de recherche axée sur le patient (SRAP) des Instituts de recherche en santé du Canada (IRSC). L’Unité agit pour améliorer en continu le système de santé québécois et le rendre apprenant. Elle mobilise et outille le réseau pour faire les choses différemment et atteindre le quintuple objectif en favorisant le travail en partenariat, l’intégration de la science </w:t>
            </w:r>
            <w:r w:rsidRPr="002C4432">
              <w:lastRenderedPageBreak/>
              <w:t>et des innovations et la facilitation du changement. Son équipe panquébécoise déploie ses expertises en offrant formation, consultation, outils, facilitation et maillage:  </w:t>
            </w:r>
          </w:p>
          <w:p w14:paraId="6676BC55" w14:textId="77777777" w:rsidR="00F9324C" w:rsidRPr="002C4432" w:rsidRDefault="00F9324C" w:rsidP="009176DD">
            <w:r w:rsidRPr="002C4432">
              <w:t>Elle construit des connaissances scientifiques et expérientielles </w:t>
            </w:r>
          </w:p>
          <w:p w14:paraId="7423FDD7" w14:textId="77777777" w:rsidR="00F9324C" w:rsidRPr="002C4432" w:rsidRDefault="00F9324C" w:rsidP="009176DD">
            <w:r w:rsidRPr="002C4432">
              <w:t>Elle offre du soutien à la carte aux responsables de projets dans le réseau </w:t>
            </w:r>
          </w:p>
          <w:p w14:paraId="23CE0FB4" w14:textId="77777777" w:rsidR="00F9324C" w:rsidRPr="002C4432" w:rsidRDefault="00F9324C" w:rsidP="009176DD">
            <w:r w:rsidRPr="002C4432">
              <w:t>Elle orchestre l’amélioration continue de la qualité </w:t>
            </w:r>
          </w:p>
          <w:p w14:paraId="333D23C4" w14:textId="77777777" w:rsidR="00F9324C" w:rsidRPr="002C4432" w:rsidRDefault="00F9324C" w:rsidP="009176DD">
            <w:r w:rsidRPr="002C4432">
              <w:t>L’Entité nationale de formation (ENF), également partie intégrante de la SRAP des IRSC, est une organisation pancanadienne qui vise à accroitre, soutenir et maintenir la capacité d’un environnement de recherche axée sur le partenariat avec et pour les patients, collaboratif et interdisciplinaire. L’ENF offre des réponses aux questions changeantes en matière de soins de santé, contribuant ainsi à améliorer l’expérience des patientes et patients.   </w:t>
            </w:r>
          </w:p>
          <w:p w14:paraId="4B91D298" w14:textId="293487E7" w:rsidR="00F9324C" w:rsidRPr="002C4432" w:rsidRDefault="00F9324C" w:rsidP="009176DD">
            <w:pPr>
              <w:rPr>
                <w:rFonts w:eastAsia="Times New Roman"/>
                <w:kern w:val="0"/>
                <w:szCs w:val="24"/>
                <w:lang w:eastAsia="fr-FR"/>
                <w14:ligatures w14:val="none"/>
              </w:rPr>
            </w:pPr>
            <w:r w:rsidRPr="002C4432">
              <w:t>Les bourses offertes par le FRQ en partenariat avec l’Unité et l‘Entité nationale de formation permettent aux titulaires d’octroi de parfaire leurs compétences et d’acquérir une expérience en recherche avec et pour les patientes et les patients, de réseauter et de travailler en interdisciplinarité avec les personnes et les organisations œuvrant en santé dans une approche de système de santé apprenant.</w:t>
            </w:r>
            <w:r w:rsidRPr="002C4432">
              <w:rPr>
                <w:rFonts w:eastAsia="Times New Roman"/>
                <w:kern w:val="0"/>
                <w:szCs w:val="24"/>
                <w:bdr w:val="none" w:sz="0" w:space="0" w:color="auto" w:frame="1"/>
                <w:lang w:eastAsia="fr-FR"/>
                <w14:ligatures w14:val="none"/>
              </w:rPr>
              <w:t> </w:t>
            </w:r>
          </w:p>
        </w:tc>
      </w:tr>
    </w:tbl>
    <w:tbl>
      <w:tblPr>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2268"/>
        <w:gridCol w:w="6794"/>
      </w:tblGrid>
      <w:tr w:rsidR="00070734" w:rsidRPr="00070734" w14:paraId="5535B8B4" w14:textId="77777777" w:rsidTr="003B3D26">
        <w:tc>
          <w:tcPr>
            <w:tcW w:w="2268" w:type="dxa"/>
          </w:tcPr>
          <w:p w14:paraId="463CD050" w14:textId="77777777" w:rsidR="00070734" w:rsidRPr="00070734" w:rsidRDefault="00070734" w:rsidP="00070734">
            <w:pPr>
              <w:rPr>
                <w:b/>
                <w:bCs/>
              </w:rPr>
            </w:pPr>
            <w:r w:rsidRPr="00070734">
              <w:rPr>
                <w:b/>
                <w:bCs/>
              </w:rPr>
              <w:lastRenderedPageBreak/>
              <w:t>Ministère de la Santé et des Services sociaux (MSSS)</w:t>
            </w:r>
          </w:p>
        </w:tc>
        <w:tc>
          <w:tcPr>
            <w:tcW w:w="6794" w:type="dxa"/>
          </w:tcPr>
          <w:p w14:paraId="26106867" w14:textId="77777777" w:rsidR="00070734" w:rsidRPr="00070734" w:rsidRDefault="00070734" w:rsidP="00070734">
            <w:pPr>
              <w:rPr>
                <w:b/>
                <w:bCs/>
                <w:lang w:val="fr-CA"/>
              </w:rPr>
            </w:pPr>
            <w:r w:rsidRPr="00070734">
              <w:rPr>
                <w:b/>
                <w:bCs/>
              </w:rPr>
              <w:t>Bourses de recherche sur les dimensions entourant la légalisation du cannabis à des fins non médicales </w:t>
            </w:r>
            <w:r w:rsidRPr="00070734">
              <w:rPr>
                <w:b/>
                <w:bCs/>
                <w:lang w:val="fr-CA"/>
              </w:rPr>
              <w:t> </w:t>
            </w:r>
          </w:p>
          <w:p w14:paraId="5E81FB00" w14:textId="77777777" w:rsidR="00070734" w:rsidRPr="00070734" w:rsidRDefault="00070734" w:rsidP="00070734">
            <w:pPr>
              <w:rPr>
                <w:lang w:val="fr-CA"/>
              </w:rPr>
            </w:pPr>
            <w:r w:rsidRPr="00070734">
              <w:t>Les bourses offertes par le FRQ en partenariat avec le MSSS soutiennent les titulaires d’octroi qui mènent des travaux en lien avec les dimensions entourant la légalisation du cannabis à des fins non médicales et son usage. </w:t>
            </w:r>
            <w:r w:rsidRPr="00070734">
              <w:rPr>
                <w:lang w:val="fr-CA"/>
              </w:rPr>
              <w:t xml:space="preserve">Par usage à des fins non médicales, on entend toute consommation de cannabis qui n’est pas autorisée et suivie par un professionnel ou une professionnelle de la santé. En </w:t>
            </w:r>
            <w:r w:rsidRPr="00070734">
              <w:rPr>
                <w:lang w:val="fr-CA"/>
              </w:rPr>
              <w:lastRenderedPageBreak/>
              <w:t>ce sens, les dynamiques d’usage de cannabis à des fins d’autogestion de la santé constituent un objet de recherche admissible. Les recherches poursuivant les objectifs suivants ne sont toutefois pas admissibles dans le cadre de ce programme : 1) Évaluer les effets, résultats ou indications thérapeutiques potentiels ; 2) Évaluer l’efficacité pour le traitement d’un état pathologique, de symptômes ou d’affections. </w:t>
            </w:r>
          </w:p>
          <w:p w14:paraId="3B87290F" w14:textId="77777777" w:rsidR="00070734" w:rsidRPr="00070734" w:rsidRDefault="00070734" w:rsidP="00070734">
            <w:pPr>
              <w:rPr>
                <w:lang w:val="fr-CA"/>
              </w:rPr>
            </w:pPr>
            <w:r w:rsidRPr="00070734">
              <w:t>Par cette offre de bourses, le MSSS souhaite soutenir le développement d’une relève en recherche contribuant à</w:t>
            </w:r>
            <w:r w:rsidRPr="00070734">
              <w:rPr>
                <w:lang w:val="fr-CA"/>
              </w:rPr>
              <w:t> accroître les connaissances sur au moins un des aspects suivants chez la population québécoise : </w:t>
            </w:r>
          </w:p>
          <w:p w14:paraId="4B3EFA2B" w14:textId="77777777" w:rsidR="00070734" w:rsidRPr="00070734" w:rsidRDefault="00070734" w:rsidP="00070734">
            <w:pPr>
              <w:numPr>
                <w:ilvl w:val="0"/>
                <w:numId w:val="60"/>
              </w:numPr>
              <w:rPr>
                <w:lang w:val="fr-CA"/>
              </w:rPr>
            </w:pPr>
            <w:r w:rsidRPr="00070734">
              <w:t>les effets du cannabis sur la santé ; </w:t>
            </w:r>
            <w:r w:rsidRPr="00070734">
              <w:rPr>
                <w:lang w:val="fr-CA"/>
              </w:rPr>
              <w:t> </w:t>
            </w:r>
          </w:p>
          <w:p w14:paraId="4A1015AB" w14:textId="77777777" w:rsidR="00070734" w:rsidRPr="00070734" w:rsidRDefault="00070734" w:rsidP="00070734">
            <w:pPr>
              <w:numPr>
                <w:ilvl w:val="0"/>
                <w:numId w:val="61"/>
              </w:numPr>
              <w:rPr>
                <w:lang w:val="fr-CA"/>
              </w:rPr>
            </w:pPr>
            <w:r w:rsidRPr="00070734">
              <w:t>le soutien à l’élaboration de politiques publiques ;</w:t>
            </w:r>
            <w:r w:rsidRPr="00070734">
              <w:rPr>
                <w:lang w:val="fr-CA"/>
              </w:rPr>
              <w:t> </w:t>
            </w:r>
          </w:p>
          <w:p w14:paraId="661C16FD" w14:textId="77777777" w:rsidR="00070734" w:rsidRPr="00070734" w:rsidRDefault="00070734" w:rsidP="00070734">
            <w:pPr>
              <w:numPr>
                <w:ilvl w:val="0"/>
                <w:numId w:val="62"/>
              </w:numPr>
              <w:rPr>
                <w:lang w:val="fr-CA"/>
              </w:rPr>
            </w:pPr>
            <w:r w:rsidRPr="00070734">
              <w:rPr>
                <w:lang w:val="fr-CA"/>
              </w:rPr>
              <w:t>le soutien au déploiement d’interventions de prévention des risques, de protection de la santé, de réduction des méfaits et des inégalités sociales de santé, en matière d’usage de cannabis à des fins non médicales. </w:t>
            </w:r>
          </w:p>
          <w:p w14:paraId="5EAAC7E4" w14:textId="77777777" w:rsidR="00070734" w:rsidRPr="00070734" w:rsidRDefault="00070734" w:rsidP="00070734">
            <w:pPr>
              <w:rPr>
                <w:lang w:val="fr-CA"/>
              </w:rPr>
            </w:pPr>
            <w:r w:rsidRPr="00070734">
              <w:t>Les bourses visent également à encourager le partage des savoirs au moyen d’activités de mobilisation des connaissances et de diffusion scientifique.</w:t>
            </w:r>
            <w:r w:rsidRPr="00070734">
              <w:rPr>
                <w:lang w:val="fr-CA"/>
              </w:rPr>
              <w:t> </w:t>
            </w:r>
          </w:p>
          <w:p w14:paraId="58C369D1" w14:textId="77777777" w:rsidR="00070734" w:rsidRPr="00070734" w:rsidRDefault="00070734" w:rsidP="00070734">
            <w:pPr>
              <w:rPr>
                <w:lang w:val="fr-CA"/>
              </w:rPr>
            </w:pPr>
            <w:r w:rsidRPr="00070734">
              <w:t>Les personnes candidates dont les demandes seront recommandées pour financement par le FRQ et jugées pertinentes par le partenaire - à l’issue d’une évaluation de pertinence gérée par le FRQ - pourront bénéficier d’une bourse offerte en partenariat avec le MSSS. Elles pourront également être invitées, dans une perspective de réseautage, à assister à des activités découlant des différentes initiatives déployées dans le cadre de la Programmation de recherche sur le cannabis du MSSS et du FRQ (ex. : Réseau-observatoire sur les enjeux liés à la légalisation du cannabis à des fins non médicales et son usage). </w:t>
            </w:r>
            <w:r w:rsidRPr="00070734">
              <w:rPr>
                <w:lang w:val="fr-CA"/>
              </w:rPr>
              <w:t> </w:t>
            </w:r>
          </w:p>
          <w:p w14:paraId="5BBF57A8" w14:textId="77777777" w:rsidR="00070734" w:rsidRPr="00070734" w:rsidRDefault="00070734" w:rsidP="00070734">
            <w:r w:rsidRPr="00070734">
              <w:t>Les titulaires d’octroi devront fournir un rapport d’étape annuel ainsi qu’un </w:t>
            </w:r>
            <w:hyperlink r:id="rId34" w:tgtFrame="_blank" w:history="1">
              <w:r w:rsidRPr="00070734">
                <w:rPr>
                  <w:rStyle w:val="Lienhypertexte"/>
                </w:rPr>
                <w:t>rapport de recherche</w:t>
              </w:r>
            </w:hyperlink>
            <w:r w:rsidRPr="00070734">
              <w:t xml:space="preserve"> destiné aux </w:t>
            </w:r>
            <w:r w:rsidRPr="00070734">
              <w:lastRenderedPageBreak/>
              <w:t>gestionnaires, décideurs et intervenants au terme de leur financement.</w:t>
            </w:r>
          </w:p>
          <w:p w14:paraId="5692B4FA" w14:textId="77777777" w:rsidR="00070734" w:rsidRPr="00070734" w:rsidRDefault="00070734" w:rsidP="00070734">
            <w:pPr>
              <w:rPr>
                <w:b/>
                <w:bCs/>
              </w:rPr>
            </w:pPr>
            <w:r w:rsidRPr="00070734">
              <w:t>Valeur annuelle de la bourse postdoctorale : 55 000$</w:t>
            </w:r>
          </w:p>
        </w:tc>
      </w:tr>
    </w:tbl>
    <w:p w14:paraId="6D512460" w14:textId="0FCF0FE5" w:rsidR="009F2386" w:rsidRPr="009F2386" w:rsidRDefault="009F2386" w:rsidP="009176DD">
      <w:pPr>
        <w:rPr>
          <w:rFonts w:cs="Arial"/>
        </w:rPr>
      </w:pPr>
      <w:r>
        <w:lastRenderedPageBreak/>
        <w:t xml:space="preserve">{Pages </w:t>
      </w:r>
      <w:r w:rsidR="00C10801">
        <w:t>17 à 20</w:t>
      </w:r>
      <w:r>
        <w:t>}</w:t>
      </w:r>
    </w:p>
    <w:p w14:paraId="6542A7C3" w14:textId="7AF03C95" w:rsidR="00F9324C" w:rsidRPr="002C4432" w:rsidRDefault="00962E7D" w:rsidP="00F9389E">
      <w:pPr>
        <w:pStyle w:val="Titre3"/>
      </w:pPr>
      <w:bookmarkStart w:id="39" w:name="_Toc233714314"/>
      <w:r w:rsidRPr="002C4432">
        <w:t xml:space="preserve">Partenaires du secteur </w:t>
      </w:r>
      <w:r w:rsidR="00F9324C" w:rsidRPr="002C4432">
        <w:t>Santé</w:t>
      </w:r>
      <w:bookmarkEnd w:id="39"/>
    </w:p>
    <w:tbl>
      <w:tblPr>
        <w:tblStyle w:val="Grilledutableau"/>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2268"/>
        <w:gridCol w:w="6794"/>
      </w:tblGrid>
      <w:tr w:rsidR="008E7947" w:rsidRPr="002C4432" w14:paraId="06F0EEA3" w14:textId="77777777" w:rsidTr="009176DD">
        <w:trPr>
          <w:tblHeader/>
        </w:trPr>
        <w:tc>
          <w:tcPr>
            <w:tcW w:w="2268" w:type="dxa"/>
            <w:shd w:val="clear" w:color="auto" w:fill="44546A" w:themeFill="text2"/>
            <w:vAlign w:val="center"/>
          </w:tcPr>
          <w:p w14:paraId="563BDF97" w14:textId="77777777" w:rsidR="008E7947" w:rsidRPr="002C4432" w:rsidRDefault="008E7947" w:rsidP="00994594">
            <w:pPr>
              <w:spacing w:before="60" w:after="60" w:line="276" w:lineRule="auto"/>
              <w:rPr>
                <w:rFonts w:cs="Arial"/>
                <w:b/>
                <w:bCs/>
                <w:color w:val="FFFFFF" w:themeColor="background1"/>
              </w:rPr>
            </w:pPr>
            <w:r w:rsidRPr="002C4432">
              <w:rPr>
                <w:rFonts w:cs="Arial"/>
                <w:b/>
                <w:bCs/>
                <w:color w:val="FFFFFF" w:themeColor="background1"/>
              </w:rPr>
              <w:t>Partenaire</w:t>
            </w:r>
          </w:p>
        </w:tc>
        <w:tc>
          <w:tcPr>
            <w:tcW w:w="6794" w:type="dxa"/>
            <w:shd w:val="clear" w:color="auto" w:fill="44546A" w:themeFill="text2"/>
            <w:vAlign w:val="center"/>
          </w:tcPr>
          <w:p w14:paraId="51FD8C01" w14:textId="77777777" w:rsidR="008E7947" w:rsidRPr="002C4432" w:rsidRDefault="008E7947" w:rsidP="00994594">
            <w:pPr>
              <w:spacing w:line="276" w:lineRule="auto"/>
              <w:rPr>
                <w:rFonts w:cs="Arial"/>
                <w:b/>
                <w:bCs/>
                <w:color w:val="FFFFFF" w:themeColor="background1"/>
              </w:rPr>
            </w:pPr>
            <w:r w:rsidRPr="002C4432">
              <w:rPr>
                <w:rFonts w:cs="Arial"/>
                <w:b/>
                <w:bCs/>
                <w:color w:val="FFFFFF" w:themeColor="background1"/>
              </w:rPr>
              <w:t>Description</w:t>
            </w:r>
          </w:p>
        </w:tc>
      </w:tr>
      <w:tr w:rsidR="008E7947" w:rsidRPr="002C4432" w14:paraId="3AEB3705" w14:textId="77777777" w:rsidTr="1EF755AA">
        <w:tc>
          <w:tcPr>
            <w:tcW w:w="2268" w:type="dxa"/>
          </w:tcPr>
          <w:p w14:paraId="63FFA8BF" w14:textId="0C2F9658" w:rsidR="008E7947" w:rsidRPr="002C4432" w:rsidRDefault="008E7947" w:rsidP="009176DD">
            <w:r w:rsidRPr="009176DD">
              <w:rPr>
                <w:b/>
                <w:bCs/>
              </w:rPr>
              <w:t>Fondation de la recherche pédiatrique</w:t>
            </w:r>
          </w:p>
        </w:tc>
        <w:tc>
          <w:tcPr>
            <w:tcW w:w="6794" w:type="dxa"/>
          </w:tcPr>
          <w:p w14:paraId="00D71F18" w14:textId="77777777" w:rsidR="008E7947" w:rsidRPr="009176DD" w:rsidRDefault="008E7947" w:rsidP="009176DD">
            <w:pPr>
              <w:rPr>
                <w:b/>
                <w:bCs/>
              </w:rPr>
            </w:pPr>
            <w:r w:rsidRPr="009176DD">
              <w:rPr>
                <w:b/>
                <w:bCs/>
              </w:rPr>
              <w:t>Maladies infantiles</w:t>
            </w:r>
          </w:p>
          <w:p w14:paraId="48A9F365" w14:textId="665B4D78" w:rsidR="008E7947" w:rsidRPr="002C4432" w:rsidRDefault="008E7947" w:rsidP="009176DD">
            <w:pPr>
              <w:rPr>
                <w:rFonts w:eastAsia="Times New Roman"/>
                <w:kern w:val="0"/>
                <w:szCs w:val="24"/>
                <w:lang w:eastAsia="fr-FR"/>
                <w14:ligatures w14:val="none"/>
              </w:rPr>
            </w:pPr>
            <w:r w:rsidRPr="002C4432">
              <w:t>Bourses d’excellence en recherche pédiatrique, prioritairement dans le domaine du diagnostic des maladies infantiles. Montant de la bourse</w:t>
            </w:r>
            <w:r w:rsidR="009D1EE2">
              <w:t>:</w:t>
            </w:r>
            <w:r w:rsidRPr="002C4432">
              <w:t xml:space="preserve"> 51 000 $ par année</w:t>
            </w:r>
          </w:p>
        </w:tc>
      </w:tr>
      <w:tr w:rsidR="008E7947" w:rsidRPr="002C4432" w14:paraId="11B8A102" w14:textId="77777777" w:rsidTr="1EF755AA">
        <w:tc>
          <w:tcPr>
            <w:tcW w:w="2268" w:type="dxa"/>
          </w:tcPr>
          <w:p w14:paraId="097C067B" w14:textId="638E9900" w:rsidR="008E7947" w:rsidRPr="002C4432" w:rsidRDefault="008E7947" w:rsidP="009176DD">
            <w:r w:rsidRPr="009176DD">
              <w:rPr>
                <w:b/>
                <w:bCs/>
              </w:rPr>
              <w:t>Parkinson Québec</w:t>
            </w:r>
          </w:p>
        </w:tc>
        <w:tc>
          <w:tcPr>
            <w:tcW w:w="6794" w:type="dxa"/>
          </w:tcPr>
          <w:p w14:paraId="3B7515B2" w14:textId="194EFFE9" w:rsidR="008E7947" w:rsidRPr="009176DD" w:rsidRDefault="008E7947" w:rsidP="009176DD">
            <w:pPr>
              <w:rPr>
                <w:b/>
                <w:bCs/>
              </w:rPr>
            </w:pPr>
            <w:r w:rsidRPr="009176DD">
              <w:rPr>
                <w:b/>
                <w:bCs/>
              </w:rPr>
              <w:t>Malad</w:t>
            </w:r>
            <w:r w:rsidR="72EFD0BB" w:rsidRPr="009176DD">
              <w:rPr>
                <w:b/>
                <w:bCs/>
              </w:rPr>
              <w:t>i</w:t>
            </w:r>
            <w:r w:rsidRPr="009176DD">
              <w:rPr>
                <w:b/>
                <w:bCs/>
              </w:rPr>
              <w:t>e de Parkinson</w:t>
            </w:r>
          </w:p>
          <w:p w14:paraId="76115361" w14:textId="22690E21" w:rsidR="008E7947" w:rsidRPr="002C4432" w:rsidRDefault="008E7947" w:rsidP="009176DD">
            <w:r w:rsidRPr="002C4432">
              <w:t xml:space="preserve">Bourses de formation dont la thématique de recherche porte sur la maladie de Parkinson (s’adresse aux personnes ayant la citoyenneté canadienne ou la résidence permanente canadienne seulement). </w:t>
            </w:r>
          </w:p>
        </w:tc>
      </w:tr>
      <w:tr w:rsidR="008E7947" w:rsidRPr="002C4432" w14:paraId="2E7378D5" w14:textId="77777777" w:rsidTr="1EF755AA">
        <w:tc>
          <w:tcPr>
            <w:tcW w:w="2268" w:type="dxa"/>
          </w:tcPr>
          <w:p w14:paraId="7EA212ED" w14:textId="33865442" w:rsidR="008E7947" w:rsidRPr="002C4432" w:rsidRDefault="008E7947" w:rsidP="009176DD">
            <w:r w:rsidRPr="009176DD">
              <w:rPr>
                <w:b/>
                <w:bCs/>
              </w:rPr>
              <w:t>Société Alzheimer du Canada</w:t>
            </w:r>
          </w:p>
        </w:tc>
        <w:tc>
          <w:tcPr>
            <w:tcW w:w="6794" w:type="dxa"/>
          </w:tcPr>
          <w:p w14:paraId="09964240" w14:textId="77777777" w:rsidR="008E7947" w:rsidRPr="009176DD" w:rsidRDefault="008E7947" w:rsidP="009176DD">
            <w:pPr>
              <w:rPr>
                <w:b/>
                <w:bCs/>
              </w:rPr>
            </w:pPr>
            <w:r w:rsidRPr="009176DD">
              <w:rPr>
                <w:b/>
                <w:bCs/>
              </w:rPr>
              <w:t>Maladie d’Alzheimer</w:t>
            </w:r>
          </w:p>
          <w:p w14:paraId="2ABCF799" w14:textId="0F70D253" w:rsidR="008E7947" w:rsidRPr="002C4432" w:rsidRDefault="008E7947" w:rsidP="009176DD">
            <w:r w:rsidRPr="002C4432">
              <w:t>Les candidats doivent également soumettre une demande à la Société Alzheimer du Canada. Montant de la bourse</w:t>
            </w:r>
            <w:r w:rsidR="009D1EE2">
              <w:t>:</w:t>
            </w:r>
            <w:r w:rsidRPr="002C4432">
              <w:t xml:space="preserve"> 50 000 $</w:t>
            </w:r>
          </w:p>
        </w:tc>
      </w:tr>
      <w:tr w:rsidR="008E7947" w:rsidRPr="002C4432" w14:paraId="6D843A89" w14:textId="77777777" w:rsidTr="1EF755AA">
        <w:tc>
          <w:tcPr>
            <w:tcW w:w="2268" w:type="dxa"/>
          </w:tcPr>
          <w:p w14:paraId="21D6F344" w14:textId="26180EEF" w:rsidR="008E7947" w:rsidRPr="002C4432" w:rsidRDefault="008E7947" w:rsidP="009176DD">
            <w:r w:rsidRPr="009176DD">
              <w:rPr>
                <w:b/>
                <w:bCs/>
              </w:rPr>
              <w:t>Société canadienne de la sclérose en plaques</w:t>
            </w:r>
          </w:p>
        </w:tc>
        <w:tc>
          <w:tcPr>
            <w:tcW w:w="6794" w:type="dxa"/>
          </w:tcPr>
          <w:p w14:paraId="42181022" w14:textId="77777777" w:rsidR="008E7947" w:rsidRPr="009176DD" w:rsidRDefault="008E7947" w:rsidP="009176DD">
            <w:pPr>
              <w:rPr>
                <w:b/>
                <w:bCs/>
              </w:rPr>
            </w:pPr>
            <w:r w:rsidRPr="009176DD">
              <w:rPr>
                <w:b/>
                <w:bCs/>
              </w:rPr>
              <w:t>Sclérose en plaques</w:t>
            </w:r>
          </w:p>
          <w:p w14:paraId="4E3F4D45" w14:textId="4768EE9C" w:rsidR="008E7947" w:rsidRPr="002C4432" w:rsidRDefault="008E7947" w:rsidP="009176DD">
            <w:r w:rsidRPr="002C4432">
              <w:t>Les candidats doivent également soumettre une demande à la Société canadienne de la sclérose en plaques (s’adresse aux personnes ayant la citoyenneté canadienne ou la résidence permanente canadienne seulement).</w:t>
            </w:r>
          </w:p>
        </w:tc>
      </w:tr>
      <w:tr w:rsidR="008E7947" w:rsidRPr="002C4432" w14:paraId="00481103" w14:textId="77777777" w:rsidTr="1EF755AA">
        <w:tc>
          <w:tcPr>
            <w:tcW w:w="2268" w:type="dxa"/>
          </w:tcPr>
          <w:p w14:paraId="06A3CBA0" w14:textId="7EB5F9F7" w:rsidR="008E7947" w:rsidRPr="009176DD" w:rsidRDefault="008E7947" w:rsidP="009176DD">
            <w:pPr>
              <w:rPr>
                <w:b/>
                <w:bCs/>
              </w:rPr>
            </w:pPr>
            <w:r w:rsidRPr="009176DD">
              <w:rPr>
                <w:b/>
                <w:bCs/>
              </w:rPr>
              <w:lastRenderedPageBreak/>
              <w:t>L’Unité de soutien au système de santé apprenant (SSA) Québec (l’Entité nationale de formation de la SRAP)</w:t>
            </w:r>
          </w:p>
        </w:tc>
        <w:tc>
          <w:tcPr>
            <w:tcW w:w="6794" w:type="dxa"/>
          </w:tcPr>
          <w:p w14:paraId="62E3BE78" w14:textId="2848EAC7" w:rsidR="008E7947" w:rsidRPr="009176DD" w:rsidRDefault="008E7947" w:rsidP="009176DD">
            <w:pPr>
              <w:rPr>
                <w:b/>
                <w:bCs/>
              </w:rPr>
            </w:pPr>
            <w:r w:rsidRPr="009176DD">
              <w:rPr>
                <w:b/>
                <w:bCs/>
              </w:rPr>
              <w:t>Recherche axée avec et pour les patientes</w:t>
            </w:r>
            <w:r w:rsidR="004D30E6" w:rsidRPr="009176DD">
              <w:rPr>
                <w:b/>
                <w:bCs/>
              </w:rPr>
              <w:t xml:space="preserve"> et les patients</w:t>
            </w:r>
            <w:r w:rsidRPr="009176DD">
              <w:rPr>
                <w:b/>
                <w:bCs/>
              </w:rPr>
              <w:t xml:space="preserve"> dans une approche de système de santé apprenant</w:t>
            </w:r>
          </w:p>
          <w:p w14:paraId="560EE745" w14:textId="77777777" w:rsidR="008E7947" w:rsidRPr="002C4432" w:rsidRDefault="008E7947" w:rsidP="009176DD">
            <w:r w:rsidRPr="002C4432">
              <w:t>L’Unité de soutien au système de santé apprenant (SSA) Québec est une unité provinciale de la Stratégie de recherche axée sur le patient (SRAP) des Instituts de recherche en santé du Canada (IRSC).</w:t>
            </w:r>
          </w:p>
          <w:p w14:paraId="14CB2E91" w14:textId="77777777" w:rsidR="008E7947" w:rsidRPr="002C4432" w:rsidRDefault="008E7947" w:rsidP="009176DD">
            <w:r w:rsidRPr="002C4432">
              <w:t>L’Unité agit pour améliorer en continu le système de santé québécois et le rendre apprenant. Elle mobilise et outille le réseau pour faire les choses différemment et atteindre le quintuple objectif en favorisant le travail en partenariat, l’intégration de la science et des innovations et la facilitation du changement. Son équipe panquébécoise déploie ses expertises en offrant formation, consultation, outils, facilitation et maillage:</w:t>
            </w:r>
          </w:p>
          <w:p w14:paraId="51C624C0" w14:textId="77777777" w:rsidR="008E7947" w:rsidRPr="002C4432" w:rsidRDefault="008E7947" w:rsidP="009176DD">
            <w:pPr>
              <w:pStyle w:val="Paragraphedeliste"/>
              <w:numPr>
                <w:ilvl w:val="0"/>
                <w:numId w:val="44"/>
              </w:numPr>
            </w:pPr>
            <w:r w:rsidRPr="002C4432">
              <w:t>Elle construit des connaissances scientifiques et expérientielles</w:t>
            </w:r>
          </w:p>
          <w:p w14:paraId="397CBCCE" w14:textId="77777777" w:rsidR="008E7947" w:rsidRPr="002C4432" w:rsidRDefault="008E7947" w:rsidP="009176DD">
            <w:pPr>
              <w:pStyle w:val="Paragraphedeliste"/>
              <w:numPr>
                <w:ilvl w:val="0"/>
                <w:numId w:val="44"/>
              </w:numPr>
            </w:pPr>
            <w:r w:rsidRPr="002C4432">
              <w:t>Elle offre du soutien à la carte aux responsables de projets dans le réseau</w:t>
            </w:r>
          </w:p>
          <w:p w14:paraId="016409A0" w14:textId="77777777" w:rsidR="008E7947" w:rsidRPr="002C4432" w:rsidRDefault="008E7947" w:rsidP="009176DD">
            <w:pPr>
              <w:pStyle w:val="Paragraphedeliste"/>
              <w:numPr>
                <w:ilvl w:val="0"/>
                <w:numId w:val="44"/>
              </w:numPr>
            </w:pPr>
            <w:r w:rsidRPr="002C4432">
              <w:t>Elle orchestre l’amélioration continue de la qualité</w:t>
            </w:r>
          </w:p>
          <w:p w14:paraId="75D1E9FB" w14:textId="77777777" w:rsidR="008E7947" w:rsidRPr="002C4432" w:rsidRDefault="008E7947" w:rsidP="009176DD">
            <w:r w:rsidRPr="002C4432">
              <w:t>L’Entité nationale de formation (ENF), également partie intégrante de la SRAP des IRSC, est une organisation pancanadienne qui vise à accroitre, soutenir et maintenir la capacité d’un environnement de recherche axée sur le partenariat avec et pour les patients, collaboratif et interdisciplinaire. L’ENF offre des réponses aux questions changeantes en matière de soins de santé, contribuant ainsi à améliorer l’expérience des patientes et patients.</w:t>
            </w:r>
          </w:p>
          <w:p w14:paraId="54C763AF" w14:textId="7381C615" w:rsidR="008E7947" w:rsidRPr="002C4432" w:rsidRDefault="008E7947" w:rsidP="009176DD">
            <w:r w:rsidRPr="002C4432">
              <w:t xml:space="preserve">Les bourses offertes par le FRQ en partenariat avec l’Unité et l‘Entité nationale de formation permettent aux titulaires d’octroi de parfaire leurs compétences et d’acquérir une expérience en recherche avec et pour les patientes et les patients, de réseauter et de travailler en interdisciplinarité </w:t>
            </w:r>
            <w:r w:rsidRPr="002C4432">
              <w:lastRenderedPageBreak/>
              <w:t>avec les personnes et les organisations œuvrant en santé dans une approche de système de santé apprenant.</w:t>
            </w:r>
          </w:p>
        </w:tc>
      </w:tr>
      <w:tr w:rsidR="008E7947" w:rsidRPr="002C4432" w14:paraId="15B79C3C" w14:textId="77777777" w:rsidTr="1EF755AA">
        <w:tc>
          <w:tcPr>
            <w:tcW w:w="2268" w:type="dxa"/>
          </w:tcPr>
          <w:p w14:paraId="20C61096" w14:textId="0B1C45FA" w:rsidR="008E7947" w:rsidRPr="002C4432" w:rsidRDefault="008E7947" w:rsidP="009176DD">
            <w:r w:rsidRPr="009176DD">
              <w:rPr>
                <w:b/>
                <w:bCs/>
              </w:rPr>
              <w:lastRenderedPageBreak/>
              <w:t>Fondation canadienne du rein et Société canadienne de néphrologie – Programme KRESCENT</w:t>
            </w:r>
          </w:p>
        </w:tc>
        <w:tc>
          <w:tcPr>
            <w:tcW w:w="6794" w:type="dxa"/>
          </w:tcPr>
          <w:p w14:paraId="7FFBDEBE" w14:textId="77777777" w:rsidR="008E7947" w:rsidRPr="009176DD" w:rsidRDefault="008E7947" w:rsidP="009176DD">
            <w:pPr>
              <w:rPr>
                <w:b/>
                <w:bCs/>
              </w:rPr>
            </w:pPr>
            <w:r w:rsidRPr="009176DD">
              <w:rPr>
                <w:b/>
                <w:bCs/>
              </w:rPr>
              <w:t>Santé rénale</w:t>
            </w:r>
          </w:p>
          <w:p w14:paraId="697702E9" w14:textId="48F2C97E" w:rsidR="008E7947" w:rsidRPr="002C4432" w:rsidRDefault="008E7947" w:rsidP="009176DD">
            <w:r w:rsidRPr="002C4432">
              <w:t>Les personnes candidates (personne ayant la citoyenneté canadienne ou la résidence permanente canadienne seulement) doivent également soumettre une demande au programme KRESCENT (Kidney Research Scientist Core Education and National Training).</w:t>
            </w:r>
          </w:p>
        </w:tc>
      </w:tr>
      <w:tr w:rsidR="008E7947" w:rsidRPr="002C4432" w14:paraId="04299FE3" w14:textId="77777777" w:rsidTr="1EF755AA">
        <w:tc>
          <w:tcPr>
            <w:tcW w:w="2268" w:type="dxa"/>
          </w:tcPr>
          <w:p w14:paraId="3E1A5345" w14:textId="46B520CD" w:rsidR="008E7947" w:rsidRPr="002C4432" w:rsidRDefault="008E7947" w:rsidP="009176DD">
            <w:r w:rsidRPr="009176DD">
              <w:rPr>
                <w:b/>
                <w:bCs/>
              </w:rPr>
              <w:t>Réseau Canadien sur l’Hépatite C</w:t>
            </w:r>
          </w:p>
        </w:tc>
        <w:tc>
          <w:tcPr>
            <w:tcW w:w="6794" w:type="dxa"/>
          </w:tcPr>
          <w:p w14:paraId="1E1FCDDC" w14:textId="77777777" w:rsidR="008E7947" w:rsidRPr="009176DD" w:rsidRDefault="008E7947" w:rsidP="009176DD">
            <w:pPr>
              <w:rPr>
                <w:b/>
                <w:bCs/>
              </w:rPr>
            </w:pPr>
            <w:r w:rsidRPr="009176DD">
              <w:rPr>
                <w:b/>
                <w:bCs/>
              </w:rPr>
              <w:t>Recherche sur le virus de l’hépatite C</w:t>
            </w:r>
          </w:p>
          <w:p w14:paraId="709B57DC" w14:textId="0CDC7D51" w:rsidR="008E7947" w:rsidRPr="002C4432" w:rsidRDefault="008E7947" w:rsidP="009176DD">
            <w:r w:rsidRPr="1EF755AA">
              <w:t>Bourses d’excellence dans le domaine du virus de l’hépatite C</w:t>
            </w:r>
            <w:r w:rsidR="0093288F">
              <w:t xml:space="preserve"> </w:t>
            </w:r>
            <w:r w:rsidR="01774A07" w:rsidRPr="1EF755AA">
              <w:t>(personne ayant la citoyenneté canadienne ou la résidence permanente canadienne seulement).</w:t>
            </w:r>
            <w:r w:rsidR="00D30856">
              <w:t xml:space="preserve"> </w:t>
            </w:r>
            <w:r w:rsidR="00D30856" w:rsidRPr="00D30856">
              <w:t>Les personnes candidates doivent également soumettre une demande au Réseau Canadien sur l’Hépatite C.</w:t>
            </w:r>
          </w:p>
          <w:p w14:paraId="12F961CD" w14:textId="2268AFFC" w:rsidR="008E7947" w:rsidRPr="002C4432" w:rsidRDefault="008E7947" w:rsidP="009176DD">
            <w:r w:rsidRPr="1EF755AA">
              <w:t>Montant de la bourse</w:t>
            </w:r>
            <w:r w:rsidR="009D1EE2">
              <w:t>:</w:t>
            </w:r>
            <w:r w:rsidRPr="1EF755AA">
              <w:t xml:space="preserve"> 5</w:t>
            </w:r>
            <w:r w:rsidR="4297EF57" w:rsidRPr="1EF755AA">
              <w:t>5</w:t>
            </w:r>
            <w:r w:rsidRPr="1EF755AA">
              <w:t xml:space="preserve"> 000 $ par année </w:t>
            </w:r>
          </w:p>
        </w:tc>
      </w:tr>
    </w:tbl>
    <w:tbl>
      <w:tblPr>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2268"/>
        <w:gridCol w:w="6794"/>
      </w:tblGrid>
      <w:tr w:rsidR="00DB2899" w:rsidRPr="00DB2899" w14:paraId="601F7EBF" w14:textId="77777777" w:rsidTr="003B3D26">
        <w:trPr>
          <w:trHeight w:val="300"/>
        </w:trPr>
        <w:tc>
          <w:tcPr>
            <w:tcW w:w="2268" w:type="dxa"/>
          </w:tcPr>
          <w:p w14:paraId="2EEED678" w14:textId="0F170E32" w:rsidR="00DB2899" w:rsidRPr="00DB2899" w:rsidRDefault="00DB2899" w:rsidP="00DB2899">
            <w:pPr>
              <w:rPr>
                <w:b/>
                <w:bCs/>
              </w:rPr>
            </w:pPr>
            <w:r w:rsidRPr="00DB2899">
              <w:rPr>
                <w:b/>
                <w:bCs/>
              </w:rPr>
              <w:t xml:space="preserve">Société de la sclérose latérale amyotrophique du Québec </w:t>
            </w:r>
          </w:p>
        </w:tc>
        <w:tc>
          <w:tcPr>
            <w:tcW w:w="6794" w:type="dxa"/>
          </w:tcPr>
          <w:p w14:paraId="1BA69143" w14:textId="77777777" w:rsidR="00DB2899" w:rsidRPr="00F9389E" w:rsidRDefault="00DB2899" w:rsidP="00DB2899">
            <w:r w:rsidRPr="00F9389E">
              <w:t>SLA Québec souhaite soutenir le financement de projets de recherche portant sur la sclérose latérale amyotrophique.</w:t>
            </w:r>
          </w:p>
        </w:tc>
      </w:tr>
      <w:tr w:rsidR="0094678A" w:rsidRPr="00DB2899" w14:paraId="3F0DB23E" w14:textId="77777777" w:rsidTr="003B3D26">
        <w:trPr>
          <w:trHeight w:val="300"/>
        </w:trPr>
        <w:tc>
          <w:tcPr>
            <w:tcW w:w="2268" w:type="dxa"/>
          </w:tcPr>
          <w:p w14:paraId="6C56BD92" w14:textId="2D319184" w:rsidR="0094678A" w:rsidRPr="00DB2899" w:rsidRDefault="0094678A" w:rsidP="0094678A">
            <w:pPr>
              <w:rPr>
                <w:b/>
                <w:bCs/>
              </w:rPr>
            </w:pPr>
            <w:r w:rsidRPr="00EE1576">
              <w:rPr>
                <w:rFonts w:cs="Arial"/>
                <w:b/>
                <w:bCs/>
              </w:rPr>
              <w:t>Ministère de la Santé et des Services sociaux (MSSS)</w:t>
            </w:r>
          </w:p>
        </w:tc>
        <w:tc>
          <w:tcPr>
            <w:tcW w:w="6794" w:type="dxa"/>
          </w:tcPr>
          <w:p w14:paraId="61A82D99" w14:textId="77777777" w:rsidR="0094678A" w:rsidRPr="003736AE" w:rsidRDefault="0094678A" w:rsidP="0094678A">
            <w:pPr>
              <w:spacing w:before="60" w:line="276" w:lineRule="auto"/>
              <w:rPr>
                <w:rFonts w:cs="Arial"/>
                <w:b/>
                <w:bCs/>
                <w:lang w:val="fr-CA"/>
              </w:rPr>
            </w:pPr>
            <w:r w:rsidRPr="003736AE">
              <w:rPr>
                <w:rFonts w:cs="Arial"/>
                <w:b/>
                <w:bCs/>
              </w:rPr>
              <w:t>Bourses de recherche sur les dimensions entourant la légalisation du cannabis à des fins non médicales </w:t>
            </w:r>
            <w:r w:rsidRPr="003736AE">
              <w:rPr>
                <w:rFonts w:cs="Arial"/>
                <w:b/>
                <w:bCs/>
                <w:lang w:val="fr-CA"/>
              </w:rPr>
              <w:t> </w:t>
            </w:r>
          </w:p>
          <w:p w14:paraId="0BEA2CB6" w14:textId="77777777" w:rsidR="0094678A" w:rsidRPr="007758B2" w:rsidRDefault="0094678A" w:rsidP="0094678A">
            <w:pPr>
              <w:spacing w:before="60" w:line="276" w:lineRule="auto"/>
              <w:rPr>
                <w:rFonts w:cs="Arial"/>
                <w:lang w:val="fr-CA"/>
              </w:rPr>
            </w:pPr>
            <w:r w:rsidRPr="007758B2">
              <w:rPr>
                <w:rFonts w:cs="Arial"/>
              </w:rPr>
              <w:t>Les bourses offertes par le FRQ en partenariat avec le MSSS soutiennent les titulaires d’octroi qui mènent des travaux en lien avec les dimensions entourant la légalisation du cannabis à des fins non médicales et son usage. </w:t>
            </w:r>
            <w:r w:rsidRPr="007758B2">
              <w:rPr>
                <w:rFonts w:cs="Arial"/>
                <w:lang w:val="fr-CA"/>
              </w:rPr>
              <w:t xml:space="preserve">Par usage à des fins non médicales, on entend toute consommation de cannabis qui n’est pas autorisée et suivie par un professionnel ou une professionnelle de la santé. En ce sens, les dynamiques d’usage de cannabis à des fins </w:t>
            </w:r>
            <w:r w:rsidRPr="007758B2">
              <w:rPr>
                <w:rFonts w:cs="Arial"/>
                <w:lang w:val="fr-CA"/>
              </w:rPr>
              <w:lastRenderedPageBreak/>
              <w:t>d’autogestion de la santé constituent un objet de recherche admissible. Les recherches poursuivant les objectifs suivants ne sont toutefois pas admissibles dans le cadre de ce programme : 1) Évaluer les effets, résultats ou indications thérapeutiques potentiels ; 2) Évaluer l’efficacité pour le traitement d’un état pathologique, de symptômes ou d’affections. </w:t>
            </w:r>
          </w:p>
          <w:p w14:paraId="31C20BB3" w14:textId="77777777" w:rsidR="0094678A" w:rsidRPr="007758B2" w:rsidRDefault="0094678A" w:rsidP="0094678A">
            <w:pPr>
              <w:spacing w:before="60" w:line="276" w:lineRule="auto"/>
              <w:rPr>
                <w:rFonts w:cs="Arial"/>
                <w:lang w:val="fr-CA"/>
              </w:rPr>
            </w:pPr>
            <w:r w:rsidRPr="007758B2">
              <w:rPr>
                <w:rFonts w:cs="Arial"/>
              </w:rPr>
              <w:t>Par cette offre de bourses, le MSSS souhaite soutenir le développement d’une relève en recherche contribuant à</w:t>
            </w:r>
            <w:r w:rsidRPr="007758B2">
              <w:rPr>
                <w:rFonts w:cs="Arial"/>
                <w:lang w:val="fr-CA"/>
              </w:rPr>
              <w:t> accroître les connaissances sur au moins un des aspects suivants chez la population québécoise : </w:t>
            </w:r>
          </w:p>
          <w:p w14:paraId="7C4793BC" w14:textId="77777777" w:rsidR="0094678A" w:rsidRPr="007758B2" w:rsidRDefault="0094678A" w:rsidP="0094678A">
            <w:pPr>
              <w:numPr>
                <w:ilvl w:val="0"/>
                <w:numId w:val="60"/>
              </w:numPr>
              <w:spacing w:before="60" w:after="160" w:line="276" w:lineRule="auto"/>
              <w:rPr>
                <w:rFonts w:cs="Arial"/>
                <w:lang w:val="fr-CA"/>
              </w:rPr>
            </w:pPr>
            <w:r w:rsidRPr="007758B2">
              <w:rPr>
                <w:rFonts w:cs="Arial"/>
              </w:rPr>
              <w:t>les effets du cannabis sur la santé ; </w:t>
            </w:r>
            <w:r w:rsidRPr="007758B2">
              <w:rPr>
                <w:rFonts w:cs="Arial"/>
                <w:lang w:val="fr-CA"/>
              </w:rPr>
              <w:t> </w:t>
            </w:r>
          </w:p>
          <w:p w14:paraId="60FB9EF6" w14:textId="77777777" w:rsidR="0094678A" w:rsidRPr="007758B2" w:rsidRDefault="0094678A" w:rsidP="0094678A">
            <w:pPr>
              <w:numPr>
                <w:ilvl w:val="0"/>
                <w:numId w:val="61"/>
              </w:numPr>
              <w:spacing w:before="60" w:after="160" w:line="276" w:lineRule="auto"/>
              <w:rPr>
                <w:rFonts w:cs="Arial"/>
                <w:lang w:val="fr-CA"/>
              </w:rPr>
            </w:pPr>
            <w:r w:rsidRPr="007758B2">
              <w:rPr>
                <w:rFonts w:cs="Arial"/>
              </w:rPr>
              <w:t>le soutien à l’élaboration de politiques publiques ;</w:t>
            </w:r>
            <w:r w:rsidRPr="007758B2">
              <w:rPr>
                <w:rFonts w:cs="Arial"/>
                <w:lang w:val="fr-CA"/>
              </w:rPr>
              <w:t> </w:t>
            </w:r>
          </w:p>
          <w:p w14:paraId="300E3363" w14:textId="77777777" w:rsidR="0094678A" w:rsidRPr="007758B2" w:rsidRDefault="0094678A" w:rsidP="0094678A">
            <w:pPr>
              <w:numPr>
                <w:ilvl w:val="0"/>
                <w:numId w:val="62"/>
              </w:numPr>
              <w:spacing w:before="60" w:after="160" w:line="276" w:lineRule="auto"/>
              <w:rPr>
                <w:rFonts w:cs="Arial"/>
                <w:lang w:val="fr-CA"/>
              </w:rPr>
            </w:pPr>
            <w:r w:rsidRPr="007758B2">
              <w:rPr>
                <w:rFonts w:cs="Arial"/>
                <w:lang w:val="fr-CA"/>
              </w:rPr>
              <w:t>le soutien au déploiement d’interventions de prévention des risques, de protection de la santé, de réduction des méfaits et des inégalités sociales de santé, en matière d’usage de cannabis à des fins non médicales. </w:t>
            </w:r>
          </w:p>
          <w:p w14:paraId="2BD625A6" w14:textId="77777777" w:rsidR="0094678A" w:rsidRPr="007758B2" w:rsidRDefault="0094678A" w:rsidP="0094678A">
            <w:pPr>
              <w:spacing w:before="60" w:line="276" w:lineRule="auto"/>
              <w:rPr>
                <w:rFonts w:cs="Arial"/>
                <w:lang w:val="fr-CA"/>
              </w:rPr>
            </w:pPr>
            <w:r w:rsidRPr="007758B2">
              <w:rPr>
                <w:rFonts w:cs="Arial"/>
              </w:rPr>
              <w:t>Les bourses visent également à encourager le partage des savoirs au moyen d’activités de mobilisation des connaissances et de diffusion scientifique.</w:t>
            </w:r>
            <w:r w:rsidRPr="007758B2">
              <w:rPr>
                <w:rFonts w:cs="Arial"/>
                <w:lang w:val="fr-CA"/>
              </w:rPr>
              <w:t> </w:t>
            </w:r>
          </w:p>
          <w:p w14:paraId="516F0C1F" w14:textId="77777777" w:rsidR="0094678A" w:rsidRPr="007758B2" w:rsidRDefault="0094678A" w:rsidP="0094678A">
            <w:pPr>
              <w:spacing w:before="60" w:line="276" w:lineRule="auto"/>
              <w:rPr>
                <w:rFonts w:cs="Arial"/>
                <w:lang w:val="fr-CA"/>
              </w:rPr>
            </w:pPr>
            <w:r w:rsidRPr="007758B2">
              <w:rPr>
                <w:rFonts w:cs="Arial"/>
              </w:rPr>
              <w:t>Les personnes candidates dont les demandes seront recommandées pour financement par le FRQ et jugées pertinentes par le partenaire - à l’issue d’une évaluation de pertinence gérée par le FRQ - pourront bénéficier d’une bourse offerte en partenariat avec le MSSS. Elles pourront également être invitées, dans une perspective de réseautage, à assister à des activités découlant des différentes initiatives déployées dans le cadre de la Programmation de recherche sur le cannabis du MSSS et du FRQ (ex. : Réseau-observatoire sur les enjeux liés à la légalisation du cannabis à des fins non médicales et son usage). </w:t>
            </w:r>
            <w:r w:rsidRPr="007758B2">
              <w:rPr>
                <w:rFonts w:cs="Arial"/>
                <w:lang w:val="fr-CA"/>
              </w:rPr>
              <w:t> </w:t>
            </w:r>
          </w:p>
          <w:p w14:paraId="2C30F1A8" w14:textId="77777777" w:rsidR="0094678A" w:rsidRDefault="0094678A" w:rsidP="0094678A">
            <w:pPr>
              <w:spacing w:before="60" w:line="276" w:lineRule="auto"/>
              <w:rPr>
                <w:rFonts w:cs="Arial"/>
              </w:rPr>
            </w:pPr>
            <w:r>
              <w:rPr>
                <w:rFonts w:cs="Arial"/>
              </w:rPr>
              <w:t>L</w:t>
            </w:r>
            <w:r w:rsidRPr="00F16468">
              <w:rPr>
                <w:rFonts w:cs="Arial"/>
              </w:rPr>
              <w:t>es titulaires d’octroi devront fournir un rapport d’étape annuel ainsi qu’un </w:t>
            </w:r>
            <w:hyperlink r:id="rId35" w:tgtFrame="_blank" w:history="1">
              <w:r w:rsidRPr="00F16468">
                <w:rPr>
                  <w:rStyle w:val="Lienhypertexte"/>
                  <w:rFonts w:cs="Arial"/>
                </w:rPr>
                <w:t>rapport de recherche</w:t>
              </w:r>
            </w:hyperlink>
            <w:r w:rsidRPr="00F16468">
              <w:rPr>
                <w:rFonts w:cs="Arial"/>
              </w:rPr>
              <w:t xml:space="preserve"> destiné aux </w:t>
            </w:r>
            <w:r w:rsidRPr="00F16468">
              <w:rPr>
                <w:rFonts w:cs="Arial"/>
              </w:rPr>
              <w:lastRenderedPageBreak/>
              <w:t>gestionnaires, décideurs et intervenants au terme de leur financement.</w:t>
            </w:r>
          </w:p>
          <w:p w14:paraId="56B37EA0" w14:textId="6CB37F30" w:rsidR="0094678A" w:rsidRPr="0094678A" w:rsidRDefault="0094678A" w:rsidP="0094678A">
            <w:r w:rsidRPr="007758B2">
              <w:rPr>
                <w:rFonts w:cs="Arial"/>
              </w:rPr>
              <w:t xml:space="preserve">Valeur annuelle de la bourse </w:t>
            </w:r>
            <w:r>
              <w:rPr>
                <w:rFonts w:cs="Arial"/>
              </w:rPr>
              <w:t>postdoctorale </w:t>
            </w:r>
            <w:r w:rsidRPr="007758B2">
              <w:rPr>
                <w:rFonts w:cs="Arial"/>
              </w:rPr>
              <w:t>: </w:t>
            </w:r>
            <w:r>
              <w:rPr>
                <w:rFonts w:cs="Arial"/>
              </w:rPr>
              <w:t>55</w:t>
            </w:r>
            <w:r w:rsidRPr="007758B2">
              <w:rPr>
                <w:rFonts w:cs="Arial"/>
              </w:rPr>
              <w:t> </w:t>
            </w:r>
            <w:r>
              <w:rPr>
                <w:rFonts w:cs="Arial"/>
              </w:rPr>
              <w:t>0</w:t>
            </w:r>
            <w:r w:rsidRPr="007758B2">
              <w:rPr>
                <w:rFonts w:cs="Arial"/>
              </w:rPr>
              <w:t>00$</w:t>
            </w:r>
          </w:p>
        </w:tc>
      </w:tr>
    </w:tbl>
    <w:p w14:paraId="5FFEC276" w14:textId="15A179FE" w:rsidR="009F2386" w:rsidRPr="009176DD" w:rsidRDefault="009F2386" w:rsidP="009176DD">
      <w:pPr>
        <w:rPr>
          <w:rFonts w:cs="Arial"/>
          <w:sz w:val="28"/>
          <w:szCs w:val="28"/>
        </w:rPr>
      </w:pPr>
      <w:r w:rsidRPr="009F2386">
        <w:lastRenderedPageBreak/>
        <w:t>{Page</w:t>
      </w:r>
      <w:r w:rsidR="00A865E8">
        <w:t>s</w:t>
      </w:r>
      <w:r w:rsidRPr="009F2386">
        <w:t xml:space="preserve"> </w:t>
      </w:r>
      <w:r w:rsidR="008E6888">
        <w:t>21</w:t>
      </w:r>
      <w:r w:rsidR="00A865E8">
        <w:t xml:space="preserve"> et 22</w:t>
      </w:r>
      <w:r w:rsidRPr="009F2386">
        <w:t>}</w:t>
      </w:r>
    </w:p>
    <w:p w14:paraId="42B0B7D7" w14:textId="342ABF06" w:rsidR="00257B81" w:rsidRPr="00F9389E" w:rsidRDefault="00962E7D" w:rsidP="00F9389E">
      <w:pPr>
        <w:pStyle w:val="Titre3"/>
      </w:pPr>
      <w:bookmarkStart w:id="40" w:name="_Toc233714315"/>
      <w:r w:rsidRPr="00E079EC">
        <w:t>Partenaire</w:t>
      </w:r>
      <w:r w:rsidR="005023A7">
        <w:t>s</w:t>
      </w:r>
      <w:r w:rsidRPr="00E079EC">
        <w:t xml:space="preserve"> du secteur </w:t>
      </w:r>
      <w:r w:rsidR="00257B81" w:rsidRPr="00E079EC">
        <w:t>Société et culture</w:t>
      </w:r>
      <w:bookmarkEnd w:id="40"/>
    </w:p>
    <w:tbl>
      <w:tblPr>
        <w:tblStyle w:val="Grilledutableau"/>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2268"/>
        <w:gridCol w:w="6794"/>
      </w:tblGrid>
      <w:tr w:rsidR="008E7947" w:rsidRPr="002C4432" w14:paraId="253FF318" w14:textId="77777777" w:rsidTr="009176DD">
        <w:trPr>
          <w:tblHeader/>
        </w:trPr>
        <w:tc>
          <w:tcPr>
            <w:tcW w:w="2268" w:type="dxa"/>
            <w:shd w:val="clear" w:color="auto" w:fill="44546A" w:themeFill="text2"/>
            <w:vAlign w:val="center"/>
          </w:tcPr>
          <w:p w14:paraId="0BBE0825" w14:textId="77777777" w:rsidR="008E7947" w:rsidRPr="002C4432" w:rsidRDefault="008E7947" w:rsidP="00994594">
            <w:pPr>
              <w:spacing w:before="60" w:after="60" w:line="276" w:lineRule="auto"/>
              <w:rPr>
                <w:rFonts w:cs="Arial"/>
                <w:b/>
                <w:bCs/>
                <w:color w:val="FFFFFF" w:themeColor="background1"/>
              </w:rPr>
            </w:pPr>
            <w:r w:rsidRPr="002C4432">
              <w:rPr>
                <w:rFonts w:cs="Arial"/>
                <w:b/>
                <w:bCs/>
                <w:color w:val="FFFFFF" w:themeColor="background1"/>
              </w:rPr>
              <w:t>Partenaire</w:t>
            </w:r>
          </w:p>
        </w:tc>
        <w:tc>
          <w:tcPr>
            <w:tcW w:w="6794" w:type="dxa"/>
            <w:shd w:val="clear" w:color="auto" w:fill="44546A" w:themeFill="text2"/>
            <w:vAlign w:val="center"/>
          </w:tcPr>
          <w:p w14:paraId="144B3BC0" w14:textId="77777777" w:rsidR="008E7947" w:rsidRPr="002C4432" w:rsidRDefault="008E7947" w:rsidP="00994594">
            <w:pPr>
              <w:spacing w:line="276" w:lineRule="auto"/>
              <w:rPr>
                <w:rFonts w:cs="Arial"/>
                <w:b/>
                <w:bCs/>
                <w:color w:val="FFFFFF" w:themeColor="background1"/>
              </w:rPr>
            </w:pPr>
            <w:r w:rsidRPr="002C4432">
              <w:rPr>
                <w:rFonts w:cs="Arial"/>
                <w:b/>
                <w:bCs/>
                <w:color w:val="FFFFFF" w:themeColor="background1"/>
              </w:rPr>
              <w:t>Description</w:t>
            </w:r>
          </w:p>
        </w:tc>
      </w:tr>
      <w:tr w:rsidR="008E7947" w:rsidRPr="002C4432" w14:paraId="2FB1F9EF" w14:textId="77777777" w:rsidTr="008F0A68">
        <w:tc>
          <w:tcPr>
            <w:tcW w:w="2268" w:type="dxa"/>
          </w:tcPr>
          <w:p w14:paraId="215D97FE" w14:textId="4B572D2D" w:rsidR="008E7947" w:rsidRPr="009176DD" w:rsidRDefault="008E7947" w:rsidP="009176DD">
            <w:pPr>
              <w:rPr>
                <w:b/>
                <w:bCs/>
              </w:rPr>
            </w:pPr>
            <w:r w:rsidRPr="009176DD">
              <w:rPr>
                <w:b/>
                <w:bCs/>
              </w:rPr>
              <w:t>L’Unité de soutien SSA Québec  </w:t>
            </w:r>
            <w:r w:rsidRPr="009176DD">
              <w:rPr>
                <w:b/>
                <w:bCs/>
              </w:rPr>
              <w:br/>
              <w:t>L’Entité nationale de formation de la SRAP </w:t>
            </w:r>
          </w:p>
        </w:tc>
        <w:tc>
          <w:tcPr>
            <w:tcW w:w="6794" w:type="dxa"/>
          </w:tcPr>
          <w:p w14:paraId="1E9CAE90" w14:textId="77777777" w:rsidR="008E7947" w:rsidRPr="009176DD" w:rsidRDefault="008E7947" w:rsidP="009176DD">
            <w:pPr>
              <w:rPr>
                <w:b/>
                <w:bCs/>
              </w:rPr>
            </w:pPr>
            <w:r w:rsidRPr="009176DD">
              <w:rPr>
                <w:b/>
                <w:bCs/>
              </w:rPr>
              <w:t>Recherche axée avec et pour les patients dans une approche de système de santé apprenant</w:t>
            </w:r>
          </w:p>
          <w:p w14:paraId="7BE18221" w14:textId="77777777" w:rsidR="008E7947" w:rsidRPr="002C4432" w:rsidRDefault="008E7947" w:rsidP="009176DD">
            <w:r w:rsidRPr="002C4432">
              <w:t>L’Unité de soutien au système de santé apprenant (SSA) Québec est une unité provinciale de la Stratégie de recherche axée sur le patient (SRAP) des Instituts de recherche en santé du Canada (IRSC). L’Unité agit pour améliorer en continu le système de santé québécois et le rendre apprenant. Elle mobilise et outille le réseau pour faire les choses différemment et atteindre le quintuple objectif en favorisant le travail en partenariat, l’intégration de la science et des innovations et la facilitation du changement. Son équipe panquébécoise déploie ses expertises en offrant formation, consultation, outils, facilitation et maillage:  </w:t>
            </w:r>
          </w:p>
          <w:p w14:paraId="154A388F" w14:textId="77777777" w:rsidR="008E7947" w:rsidRPr="002C4432" w:rsidRDefault="008E7947" w:rsidP="009176DD">
            <w:pPr>
              <w:pStyle w:val="Paragraphedeliste"/>
              <w:numPr>
                <w:ilvl w:val="0"/>
                <w:numId w:val="45"/>
              </w:numPr>
            </w:pPr>
            <w:r w:rsidRPr="002C4432">
              <w:t>Elle construit des connaissances scientifiques et expérientielles </w:t>
            </w:r>
          </w:p>
          <w:p w14:paraId="5B687022" w14:textId="77777777" w:rsidR="008E7947" w:rsidRPr="002C4432" w:rsidRDefault="008E7947" w:rsidP="009176DD">
            <w:pPr>
              <w:pStyle w:val="Paragraphedeliste"/>
              <w:numPr>
                <w:ilvl w:val="0"/>
                <w:numId w:val="45"/>
              </w:numPr>
            </w:pPr>
            <w:r w:rsidRPr="002C4432">
              <w:t>Elle offre du soutien à la carte aux responsables de projets dans le réseau </w:t>
            </w:r>
          </w:p>
          <w:p w14:paraId="50A2AC4E" w14:textId="77777777" w:rsidR="008E7947" w:rsidRPr="002C4432" w:rsidRDefault="008E7947" w:rsidP="009176DD">
            <w:pPr>
              <w:pStyle w:val="Paragraphedeliste"/>
              <w:numPr>
                <w:ilvl w:val="0"/>
                <w:numId w:val="45"/>
              </w:numPr>
            </w:pPr>
            <w:r w:rsidRPr="002C4432">
              <w:t>Elle orchestre l’amélioration continue de la qualité </w:t>
            </w:r>
          </w:p>
          <w:p w14:paraId="0BB91204" w14:textId="77777777" w:rsidR="008E7947" w:rsidRPr="002C4432" w:rsidRDefault="008E7947" w:rsidP="009176DD">
            <w:r w:rsidRPr="002C4432">
              <w:t xml:space="preserve">L’Entité nationale de formation (ENF), également partie intégrante de la SRAP des IRSC, est une organisation pancanadienne qui vise à accroitre, soutenir et maintenir la capacité d’un environnement de recherche axée sur le partenariat avec et pour les patients, collaboratif et interdisciplinaire. L’ENF offre des réponses aux questions </w:t>
            </w:r>
            <w:r w:rsidRPr="002C4432">
              <w:lastRenderedPageBreak/>
              <w:t>changeantes en matière de soins de santé, contribuant ainsi à améliorer l’expérience des patientes et patients.   </w:t>
            </w:r>
          </w:p>
          <w:p w14:paraId="55F4E996" w14:textId="5F4E7857" w:rsidR="008E7947" w:rsidRPr="002C4432" w:rsidRDefault="008E7947" w:rsidP="009176DD">
            <w:pPr>
              <w:rPr>
                <w:rFonts w:eastAsia="Times New Roman"/>
                <w:kern w:val="0"/>
                <w:szCs w:val="24"/>
                <w:lang w:eastAsia="fr-FR"/>
                <w14:ligatures w14:val="none"/>
              </w:rPr>
            </w:pPr>
            <w:r w:rsidRPr="002C4432">
              <w:t>Les bourses offertes par le FRQ en partenariat avec l’Unité et l‘Entité nationale de formation permettent aux titulaires d’octroi de parfaire leurs compétences et d’acquérir une expérience en recherche avec et pour les patientes et les patients, de réseauter et de travailler en interdisciplinarité avec les personnes et les organisations œuvrant en santé dans une approche de système de santé apprenant.</w:t>
            </w:r>
            <w:r w:rsidRPr="002C4432">
              <w:rPr>
                <w:rFonts w:eastAsia="Times New Roman"/>
                <w:kern w:val="0"/>
                <w:szCs w:val="24"/>
                <w:bdr w:val="none" w:sz="0" w:space="0" w:color="auto" w:frame="1"/>
                <w:lang w:eastAsia="fr-FR"/>
                <w14:ligatures w14:val="none"/>
              </w:rPr>
              <w:t> </w:t>
            </w:r>
          </w:p>
        </w:tc>
      </w:tr>
    </w:tbl>
    <w:tbl>
      <w:tblPr>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2268"/>
        <w:gridCol w:w="6794"/>
      </w:tblGrid>
      <w:tr w:rsidR="000937E9" w:rsidRPr="000937E9" w14:paraId="3B2061C3" w14:textId="77777777" w:rsidTr="003B3D26">
        <w:tc>
          <w:tcPr>
            <w:tcW w:w="2268" w:type="dxa"/>
          </w:tcPr>
          <w:p w14:paraId="71E50BD3" w14:textId="77777777" w:rsidR="000937E9" w:rsidRPr="000937E9" w:rsidRDefault="000937E9" w:rsidP="000937E9">
            <w:pPr>
              <w:rPr>
                <w:b/>
                <w:bCs/>
              </w:rPr>
            </w:pPr>
            <w:r w:rsidRPr="000937E9">
              <w:rPr>
                <w:b/>
                <w:bCs/>
              </w:rPr>
              <w:lastRenderedPageBreak/>
              <w:t>Ministère de la Santé et des Services sociaux (MSSS)</w:t>
            </w:r>
          </w:p>
        </w:tc>
        <w:tc>
          <w:tcPr>
            <w:tcW w:w="6794" w:type="dxa"/>
          </w:tcPr>
          <w:p w14:paraId="7B03911D" w14:textId="77777777" w:rsidR="000937E9" w:rsidRPr="000937E9" w:rsidRDefault="000937E9" w:rsidP="000937E9">
            <w:pPr>
              <w:rPr>
                <w:b/>
                <w:bCs/>
                <w:lang w:val="fr-CA"/>
              </w:rPr>
            </w:pPr>
            <w:r w:rsidRPr="000937E9">
              <w:rPr>
                <w:b/>
                <w:bCs/>
              </w:rPr>
              <w:t>Bourses de recherche sur les dimensions entourant la légalisation du cannabis à des fins non médicales </w:t>
            </w:r>
            <w:r w:rsidRPr="000937E9">
              <w:rPr>
                <w:b/>
                <w:bCs/>
                <w:lang w:val="fr-CA"/>
              </w:rPr>
              <w:t> </w:t>
            </w:r>
          </w:p>
          <w:p w14:paraId="52E3024A" w14:textId="77777777" w:rsidR="000937E9" w:rsidRPr="00F9389E" w:rsidRDefault="000937E9" w:rsidP="000937E9">
            <w:pPr>
              <w:rPr>
                <w:lang w:val="fr-CA"/>
              </w:rPr>
            </w:pPr>
            <w:r w:rsidRPr="00F9389E">
              <w:t>Les bourses offertes par le FRQ en partenariat avec le MSSS soutiennent les titulaires d’octroi qui mènent des travaux en lien avec les dimensions entourant la légalisation du cannabis à des fins non médicales et son usage. </w:t>
            </w:r>
            <w:r w:rsidRPr="00F9389E">
              <w:rPr>
                <w:lang w:val="fr-CA"/>
              </w:rPr>
              <w:t>Par usage à des fins non médicales, on entend toute consommation de cannabis qui n’est pas autorisée et suivie par un professionnel ou une professionnelle de la santé. En ce sens, les dynamiques d’usage de cannabis à des fins d’autogestion de la santé constituent un objet de recherche admissible. Les recherches poursuivant les objectifs suivants ne sont toutefois pas admissibles dans le cadre de ce programme : 1) Évaluer les effets, résultats ou indications thérapeutiques potentiels ; 2) Évaluer l’efficacité pour le traitement d’un état pathologique, de symptômes ou d’affections. </w:t>
            </w:r>
          </w:p>
          <w:p w14:paraId="69DBBB5B" w14:textId="77777777" w:rsidR="000937E9" w:rsidRPr="00F9389E" w:rsidRDefault="000937E9" w:rsidP="000937E9">
            <w:pPr>
              <w:rPr>
                <w:lang w:val="fr-CA"/>
              </w:rPr>
            </w:pPr>
            <w:r w:rsidRPr="00F9389E">
              <w:t>Par cette offre de bourses, le MSSS souhaite soutenir le développement d’une relève en recherche contribuant à</w:t>
            </w:r>
            <w:r w:rsidRPr="00F9389E">
              <w:rPr>
                <w:lang w:val="fr-CA"/>
              </w:rPr>
              <w:t> accroître les connaissances sur au moins un des aspects suivants chez la population québécoise : </w:t>
            </w:r>
          </w:p>
          <w:p w14:paraId="2DAF702C" w14:textId="77777777" w:rsidR="000937E9" w:rsidRPr="00F9389E" w:rsidRDefault="000937E9" w:rsidP="000937E9">
            <w:pPr>
              <w:numPr>
                <w:ilvl w:val="0"/>
                <w:numId w:val="60"/>
              </w:numPr>
              <w:rPr>
                <w:lang w:val="fr-CA"/>
              </w:rPr>
            </w:pPr>
            <w:r w:rsidRPr="00F9389E">
              <w:t>les effets du cannabis sur la santé ; </w:t>
            </w:r>
            <w:r w:rsidRPr="00F9389E">
              <w:rPr>
                <w:lang w:val="fr-CA"/>
              </w:rPr>
              <w:t> </w:t>
            </w:r>
          </w:p>
          <w:p w14:paraId="3E6F00DB" w14:textId="77777777" w:rsidR="000937E9" w:rsidRPr="00F9389E" w:rsidRDefault="000937E9" w:rsidP="000937E9">
            <w:pPr>
              <w:numPr>
                <w:ilvl w:val="0"/>
                <w:numId w:val="61"/>
              </w:numPr>
              <w:rPr>
                <w:lang w:val="fr-CA"/>
              </w:rPr>
            </w:pPr>
            <w:r w:rsidRPr="00F9389E">
              <w:t>le soutien à l’élaboration de politiques publiques ;</w:t>
            </w:r>
            <w:r w:rsidRPr="00F9389E">
              <w:rPr>
                <w:lang w:val="fr-CA"/>
              </w:rPr>
              <w:t> </w:t>
            </w:r>
          </w:p>
          <w:p w14:paraId="4380A63A" w14:textId="77777777" w:rsidR="000937E9" w:rsidRPr="00F9389E" w:rsidRDefault="000937E9" w:rsidP="000937E9">
            <w:pPr>
              <w:numPr>
                <w:ilvl w:val="0"/>
                <w:numId w:val="62"/>
              </w:numPr>
              <w:rPr>
                <w:lang w:val="fr-CA"/>
              </w:rPr>
            </w:pPr>
            <w:r w:rsidRPr="00F9389E">
              <w:rPr>
                <w:lang w:val="fr-CA"/>
              </w:rPr>
              <w:lastRenderedPageBreak/>
              <w:t>le soutien au déploiement d’interventions de prévention des risques, de protection de la santé, de réduction des méfaits et des inégalités sociales de santé, en matière d’usage de cannabis à des fins non médicales. </w:t>
            </w:r>
          </w:p>
          <w:p w14:paraId="3975E2A7" w14:textId="77777777" w:rsidR="000937E9" w:rsidRPr="00F9389E" w:rsidRDefault="000937E9" w:rsidP="000937E9">
            <w:pPr>
              <w:rPr>
                <w:lang w:val="fr-CA"/>
              </w:rPr>
            </w:pPr>
            <w:r w:rsidRPr="00F9389E">
              <w:t>Les bourses visent également à encourager le partage des savoirs au moyen d’activités de mobilisation des connaissances et de diffusion scientifique.</w:t>
            </w:r>
            <w:r w:rsidRPr="00F9389E">
              <w:rPr>
                <w:lang w:val="fr-CA"/>
              </w:rPr>
              <w:t> </w:t>
            </w:r>
          </w:p>
          <w:p w14:paraId="7A84E380" w14:textId="77777777" w:rsidR="000937E9" w:rsidRPr="00F9389E" w:rsidRDefault="000937E9" w:rsidP="000937E9">
            <w:pPr>
              <w:rPr>
                <w:lang w:val="fr-CA"/>
              </w:rPr>
            </w:pPr>
            <w:r w:rsidRPr="00F9389E">
              <w:t>Les personnes candidates dont les demandes seront recommandées pour financement par le FRQ et jugées pertinentes par le partenaire - à l’issue d’une évaluation de pertinence gérée par le FRQ - pourront bénéficier d’une bourse offerte en partenariat avec le MSSS. Elles pourront également être invitées, dans une perspective de réseautage, à assister à des activités découlant des différentes initiatives déployées dans le cadre de la Programmation de recherche sur le cannabis du MSSS et du FRQ (ex. : Réseau-observatoire sur les enjeux liés à la légalisation du cannabis à des fins non médicales et son usage). </w:t>
            </w:r>
            <w:r w:rsidRPr="00F9389E">
              <w:rPr>
                <w:lang w:val="fr-CA"/>
              </w:rPr>
              <w:t> </w:t>
            </w:r>
          </w:p>
          <w:p w14:paraId="5718A69A" w14:textId="77777777" w:rsidR="000937E9" w:rsidRPr="00F9389E" w:rsidRDefault="000937E9" w:rsidP="000937E9">
            <w:r w:rsidRPr="00F9389E">
              <w:t>Les titulaires d’octroi devront fournir un rapport d’étape annuel ainsi qu’un </w:t>
            </w:r>
            <w:hyperlink r:id="rId36" w:tgtFrame="_blank" w:history="1">
              <w:r w:rsidRPr="00F9389E">
                <w:rPr>
                  <w:rStyle w:val="Lienhypertexte"/>
                </w:rPr>
                <w:t>rapport de recherche</w:t>
              </w:r>
            </w:hyperlink>
            <w:r w:rsidRPr="00F9389E">
              <w:t> destiné aux gestionnaires, décideurs et intervenants au terme de leur financement.</w:t>
            </w:r>
          </w:p>
          <w:p w14:paraId="67BC3A95" w14:textId="77777777" w:rsidR="000937E9" w:rsidRPr="000937E9" w:rsidRDefault="000937E9" w:rsidP="000937E9">
            <w:pPr>
              <w:rPr>
                <w:b/>
                <w:bCs/>
              </w:rPr>
            </w:pPr>
            <w:r w:rsidRPr="00F9389E">
              <w:t>Valeur annuelle de la bourse postdoctorale : 55 000$</w:t>
            </w:r>
          </w:p>
        </w:tc>
      </w:tr>
    </w:tbl>
    <w:tbl>
      <w:tblPr>
        <w:tblStyle w:val="Grilledutableau"/>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2268"/>
        <w:gridCol w:w="6794"/>
      </w:tblGrid>
      <w:tr w:rsidR="000937E9" w:rsidRPr="002C4432" w14:paraId="030C8663" w14:textId="77777777" w:rsidTr="008F0A68">
        <w:tc>
          <w:tcPr>
            <w:tcW w:w="2268" w:type="dxa"/>
          </w:tcPr>
          <w:p w14:paraId="1B108AA8" w14:textId="77777777" w:rsidR="000937E9" w:rsidRPr="009176DD" w:rsidRDefault="000937E9" w:rsidP="009176DD">
            <w:pPr>
              <w:rPr>
                <w:b/>
                <w:bCs/>
              </w:rPr>
            </w:pPr>
          </w:p>
        </w:tc>
        <w:tc>
          <w:tcPr>
            <w:tcW w:w="6794" w:type="dxa"/>
          </w:tcPr>
          <w:p w14:paraId="64A402CE" w14:textId="77777777" w:rsidR="000937E9" w:rsidRPr="009176DD" w:rsidRDefault="000937E9" w:rsidP="009176DD">
            <w:pPr>
              <w:rPr>
                <w:b/>
                <w:bCs/>
              </w:rPr>
            </w:pPr>
          </w:p>
        </w:tc>
      </w:tr>
    </w:tbl>
    <w:p w14:paraId="47811A17" w14:textId="6ED1C8C8" w:rsidR="009F2386" w:rsidRDefault="009F2386" w:rsidP="009176DD">
      <w:pPr>
        <w:rPr>
          <w:rFonts w:cs="Arial"/>
          <w:sz w:val="36"/>
          <w:szCs w:val="36"/>
        </w:rPr>
      </w:pPr>
      <w:bookmarkStart w:id="41" w:name="_Toc202861984"/>
      <w:r>
        <w:t xml:space="preserve">{Page </w:t>
      </w:r>
      <w:r w:rsidR="00A865E8">
        <w:t>23</w:t>
      </w:r>
      <w:r>
        <w:t>}</w:t>
      </w:r>
    </w:p>
    <w:p w14:paraId="5CBC26DB" w14:textId="080AE30D" w:rsidR="003C6228" w:rsidRPr="009176DD" w:rsidRDefault="00BE61D9" w:rsidP="00F9389E">
      <w:pPr>
        <w:pStyle w:val="Titre2"/>
      </w:pPr>
      <w:bookmarkStart w:id="42" w:name="_Toc233714316"/>
      <w:r w:rsidRPr="009176DD">
        <w:t>Annonce des résultats</w:t>
      </w:r>
      <w:bookmarkEnd w:id="41"/>
      <w:bookmarkEnd w:id="42"/>
    </w:p>
    <w:p w14:paraId="79A8C74F" w14:textId="71542457" w:rsidR="00BE61D9" w:rsidRDefault="00BE61D9" w:rsidP="009176DD">
      <w:r w:rsidRPr="002C4432">
        <w:t xml:space="preserve">Les résultats du concours sont annoncés fin avril. Conformément à l’article 5.2 des RGC, la personne qui reçoit une offre de financement doit faire part de son acceptation ou de son refus au plus tard 30 jours suivant l’avis déposé au </w:t>
      </w:r>
      <w:r w:rsidR="00761258" w:rsidRPr="002C4432">
        <w:t>portail</w:t>
      </w:r>
      <w:r w:rsidRPr="002C4432">
        <w:t xml:space="preserve"> FRQnet. Une offre d’octroi refusée par la personne candidate ne peut être réactivée. </w:t>
      </w:r>
    </w:p>
    <w:p w14:paraId="061A76E7" w14:textId="77777777" w:rsidR="00E12A11" w:rsidRPr="003B3D26" w:rsidRDefault="00E12A11" w:rsidP="00F9389E">
      <w:pPr>
        <w:pStyle w:val="Titre2"/>
      </w:pPr>
      <w:bookmarkStart w:id="43" w:name="_Toc233714317"/>
      <w:r>
        <w:lastRenderedPageBreak/>
        <w:t>Prise d’effet de la bourse</w:t>
      </w:r>
      <w:bookmarkEnd w:id="43"/>
    </w:p>
    <w:p w14:paraId="542621F9" w14:textId="3E335834" w:rsidR="00E12A11" w:rsidRPr="00E12A11" w:rsidRDefault="00E12A11" w:rsidP="00F9389E">
      <w:pPr>
        <w:spacing w:before="120" w:after="120" w:line="276" w:lineRule="auto"/>
        <w:rPr>
          <w:rFonts w:cs="Arial"/>
        </w:rPr>
      </w:pPr>
      <w:r w:rsidRPr="002C4432">
        <w:rPr>
          <w:rFonts w:cs="Arial"/>
        </w:rPr>
        <w:t xml:space="preserve">La bourse prend effet obligatoirement </w:t>
      </w:r>
      <w:r w:rsidRPr="002C4432">
        <w:rPr>
          <w:rFonts w:cs="Arial"/>
          <w:b/>
          <w:bCs/>
        </w:rPr>
        <w:t>entre le 1</w:t>
      </w:r>
      <w:r w:rsidRPr="002C4432">
        <w:rPr>
          <w:rFonts w:cs="Arial"/>
          <w:b/>
          <w:bCs/>
          <w:vertAlign w:val="superscript"/>
        </w:rPr>
        <w:t xml:space="preserve">er </w:t>
      </w:r>
      <w:r w:rsidRPr="002C4432">
        <w:rPr>
          <w:rFonts w:cs="Arial"/>
          <w:b/>
          <w:bCs/>
        </w:rPr>
        <w:t>mai de l’année de l’offre et le 1</w:t>
      </w:r>
      <w:r w:rsidRPr="002C4432">
        <w:rPr>
          <w:rFonts w:cs="Arial"/>
          <w:b/>
          <w:bCs/>
          <w:vertAlign w:val="superscript"/>
        </w:rPr>
        <w:t>er</w:t>
      </w:r>
      <w:r w:rsidRPr="002C4432">
        <w:rPr>
          <w:rFonts w:cs="Arial"/>
          <w:b/>
          <w:bCs/>
        </w:rPr>
        <w:t xml:space="preserve"> mars de l’année suivante</w:t>
      </w:r>
      <w:r w:rsidRPr="002C4432">
        <w:rPr>
          <w:rFonts w:cs="Arial"/>
        </w:rPr>
        <w:t>. La durée du financement est établie à partir des informations fournies dans la demande de bourse. Aucune modification à la hausse de la durée du financement n’est autorisée.</w:t>
      </w:r>
    </w:p>
    <w:p w14:paraId="2910AEDA" w14:textId="152CA1FF" w:rsidR="003C6228" w:rsidRPr="009176DD" w:rsidRDefault="00BE61D9" w:rsidP="00F9389E">
      <w:pPr>
        <w:pStyle w:val="Titre2"/>
      </w:pPr>
      <w:bookmarkStart w:id="44" w:name="_Toc202861985"/>
      <w:bookmarkStart w:id="45" w:name="_Toc233714318"/>
      <w:r w:rsidRPr="009176DD">
        <w:t>Règles d’utilisation de la bourse</w:t>
      </w:r>
      <w:bookmarkEnd w:id="44"/>
      <w:bookmarkEnd w:id="45"/>
    </w:p>
    <w:p w14:paraId="7382E621" w14:textId="7F090D2E" w:rsidR="001805FF" w:rsidRDefault="001805FF" w:rsidP="001805FF">
      <w:r>
        <w:t xml:space="preserve">Pour connaître les règles qui s’appliquent en cas d’octroi, la personne qui reçoit une offre de bourse doit consulter les </w:t>
      </w:r>
      <w:hyperlink r:id="rId37" w:history="1">
        <w:r w:rsidRPr="00F9143D">
          <w:rPr>
            <w:rStyle w:val="Lienhypertexte"/>
          </w:rPr>
          <w:t>règles d’utilisation de la bourse du FRQ</w:t>
        </w:r>
      </w:hyperlink>
      <w:r>
        <w:t>. La personne candidate est toutefois tenue d’en prendre connaissance dès la demande de bourse et de les conserver pour consultation ultérieure, en cas d’octroi. Pour conserver la bourse, la personne titulaire de l’octroi doit respecter intégralement les conditions d’admissibilité et les règles en vigueur au moment de la présentation de la demande.</w:t>
      </w:r>
    </w:p>
    <w:p w14:paraId="6AA48D5C" w14:textId="77777777" w:rsidR="001805FF" w:rsidRDefault="001805FF" w:rsidP="001805FF">
      <w:r>
        <w:t>Les procédures techniques relatives à la gestion de l’octroi se trouvent dans le guide d’utilisation de la bourse, rendu disponible au moment de l’annonce des résultats.</w:t>
      </w:r>
    </w:p>
    <w:p w14:paraId="0675AAC4" w14:textId="77952B3A" w:rsidR="00F748DF" w:rsidRPr="002C4432" w:rsidRDefault="00F748DF" w:rsidP="006201BC">
      <w:pPr>
        <w:rPr>
          <w:rFonts w:cs="Arial"/>
        </w:rPr>
      </w:pPr>
    </w:p>
    <w:sectPr w:rsidR="00F748DF" w:rsidRPr="002C4432">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F514" w14:textId="77777777" w:rsidR="00BE5E31" w:rsidRDefault="00BE5E31" w:rsidP="00FB2366">
      <w:pPr>
        <w:spacing w:after="0" w:line="240" w:lineRule="auto"/>
      </w:pPr>
      <w:r>
        <w:separator/>
      </w:r>
    </w:p>
  </w:endnote>
  <w:endnote w:type="continuationSeparator" w:id="0">
    <w:p w14:paraId="394F263E" w14:textId="77777777" w:rsidR="00BE5E31" w:rsidRDefault="00BE5E31" w:rsidP="00FB2366">
      <w:pPr>
        <w:spacing w:after="0" w:line="240" w:lineRule="auto"/>
      </w:pPr>
      <w:r>
        <w:continuationSeparator/>
      </w:r>
    </w:p>
  </w:endnote>
  <w:endnote w:type="continuationNotice" w:id="1">
    <w:p w14:paraId="03157272" w14:textId="77777777" w:rsidR="00BE5E31" w:rsidRDefault="00BE5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18A6" w14:textId="77777777" w:rsidR="00003661" w:rsidRDefault="000036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711858"/>
      <w:docPartObj>
        <w:docPartGallery w:val="Page Numbers (Bottom of Page)"/>
        <w:docPartUnique/>
      </w:docPartObj>
    </w:sdtPr>
    <w:sdtEndPr/>
    <w:sdtContent>
      <w:p w14:paraId="4281ECBE" w14:textId="3D143997" w:rsidR="00FB2366" w:rsidRDefault="00FB2366">
        <w:pPr>
          <w:pStyle w:val="Pieddepage"/>
          <w:jc w:val="center"/>
        </w:pPr>
        <w:r>
          <w:fldChar w:fldCharType="begin"/>
        </w:r>
        <w:r>
          <w:instrText>PAGE   \* MERGEFORMAT</w:instrText>
        </w:r>
        <w:r>
          <w:fldChar w:fldCharType="separate"/>
        </w:r>
        <w:r>
          <w:t>2</w:t>
        </w:r>
        <w:r>
          <w:fldChar w:fldCharType="end"/>
        </w:r>
      </w:p>
    </w:sdtContent>
  </w:sdt>
  <w:p w14:paraId="4AC5F21B" w14:textId="77777777" w:rsidR="00FB2366" w:rsidRDefault="00FB23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7152" w14:textId="77777777" w:rsidR="00003661" w:rsidRDefault="000036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4B5E" w14:textId="77777777" w:rsidR="00BE5E31" w:rsidRDefault="00BE5E31" w:rsidP="00FB2366">
      <w:pPr>
        <w:spacing w:after="0" w:line="240" w:lineRule="auto"/>
      </w:pPr>
      <w:r>
        <w:separator/>
      </w:r>
    </w:p>
  </w:footnote>
  <w:footnote w:type="continuationSeparator" w:id="0">
    <w:p w14:paraId="12CF187F" w14:textId="77777777" w:rsidR="00BE5E31" w:rsidRDefault="00BE5E31" w:rsidP="00FB2366">
      <w:pPr>
        <w:spacing w:after="0" w:line="240" w:lineRule="auto"/>
      </w:pPr>
      <w:r>
        <w:continuationSeparator/>
      </w:r>
    </w:p>
  </w:footnote>
  <w:footnote w:type="continuationNotice" w:id="1">
    <w:p w14:paraId="3D9995E1" w14:textId="77777777" w:rsidR="00BE5E31" w:rsidRDefault="00BE5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DEE3" w14:textId="77777777" w:rsidR="00003661" w:rsidRDefault="000036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E702" w14:textId="77777777" w:rsidR="00003661" w:rsidRDefault="000036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215D" w14:textId="77777777" w:rsidR="00003661" w:rsidRDefault="000036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312"/>
    <w:multiLevelType w:val="multilevel"/>
    <w:tmpl w:val="003C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16FA7"/>
    <w:multiLevelType w:val="hybridMultilevel"/>
    <w:tmpl w:val="63868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854CC0"/>
    <w:multiLevelType w:val="hybridMultilevel"/>
    <w:tmpl w:val="624C79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15D6C"/>
    <w:multiLevelType w:val="hybridMultilevel"/>
    <w:tmpl w:val="9AB81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725044"/>
    <w:multiLevelType w:val="hybridMultilevel"/>
    <w:tmpl w:val="0D583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384F46"/>
    <w:multiLevelType w:val="multilevel"/>
    <w:tmpl w:val="D6E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42876"/>
    <w:multiLevelType w:val="hybridMultilevel"/>
    <w:tmpl w:val="C37C1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662968"/>
    <w:multiLevelType w:val="hybridMultilevel"/>
    <w:tmpl w:val="73947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BF7F00"/>
    <w:multiLevelType w:val="multilevel"/>
    <w:tmpl w:val="DB90D90A"/>
    <w:lvl w:ilvl="0">
      <w:start w:val="1"/>
      <w:numFmt w:val="decimal"/>
      <w:pStyle w:val="Titre2"/>
      <w:lvlText w:val="%1."/>
      <w:lvlJc w:val="left"/>
      <w:pPr>
        <w:ind w:left="360" w:hanging="360"/>
      </w:pPr>
      <w:rPr>
        <w:sz w:val="36"/>
        <w:szCs w:val="36"/>
      </w:rPr>
    </w:lvl>
    <w:lvl w:ilvl="1">
      <w:start w:val="1"/>
      <w:numFmt w:val="decimal"/>
      <w:pStyle w:val="Titre3"/>
      <w:lvlText w:val="%1.%2."/>
      <w:lvlJc w:val="left"/>
      <w:pPr>
        <w:ind w:left="792" w:hanging="432"/>
      </w:pPr>
    </w:lvl>
    <w:lvl w:ilvl="2">
      <w:start w:val="1"/>
      <w:numFmt w:val="decimal"/>
      <w:pStyle w:val="Titre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A01D37"/>
    <w:multiLevelType w:val="hybridMultilevel"/>
    <w:tmpl w:val="F8EC3D4E"/>
    <w:lvl w:ilvl="0" w:tplc="04A6B3C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166D78"/>
    <w:multiLevelType w:val="hybridMultilevel"/>
    <w:tmpl w:val="A956C618"/>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1" w15:restartNumberingAfterBreak="0">
    <w:nsid w:val="1D52786A"/>
    <w:multiLevelType w:val="hybridMultilevel"/>
    <w:tmpl w:val="8332A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673C59"/>
    <w:multiLevelType w:val="hybridMultilevel"/>
    <w:tmpl w:val="0E367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AF223B"/>
    <w:multiLevelType w:val="hybridMultilevel"/>
    <w:tmpl w:val="8646B0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C4452B"/>
    <w:multiLevelType w:val="hybridMultilevel"/>
    <w:tmpl w:val="74682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3D3D21"/>
    <w:multiLevelType w:val="hybridMultilevel"/>
    <w:tmpl w:val="C7E89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6E712A"/>
    <w:multiLevelType w:val="hybridMultilevel"/>
    <w:tmpl w:val="5E44C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1C1184"/>
    <w:multiLevelType w:val="hybridMultilevel"/>
    <w:tmpl w:val="47A03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D35ADC"/>
    <w:multiLevelType w:val="hybridMultilevel"/>
    <w:tmpl w:val="E460F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142121"/>
    <w:multiLevelType w:val="hybridMultilevel"/>
    <w:tmpl w:val="5492D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D5127E3"/>
    <w:multiLevelType w:val="hybridMultilevel"/>
    <w:tmpl w:val="B002B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1D576B"/>
    <w:multiLevelType w:val="multilevel"/>
    <w:tmpl w:val="F11E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845057"/>
    <w:multiLevelType w:val="hybridMultilevel"/>
    <w:tmpl w:val="B9741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B459BD"/>
    <w:multiLevelType w:val="hybridMultilevel"/>
    <w:tmpl w:val="CE845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8C42AE"/>
    <w:multiLevelType w:val="hybridMultilevel"/>
    <w:tmpl w:val="B8E4A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8F33B7"/>
    <w:multiLevelType w:val="hybridMultilevel"/>
    <w:tmpl w:val="404E3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B62CF2"/>
    <w:multiLevelType w:val="hybridMultilevel"/>
    <w:tmpl w:val="DFDEF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770C74"/>
    <w:multiLevelType w:val="hybridMultilevel"/>
    <w:tmpl w:val="37DA00B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B572FE"/>
    <w:multiLevelType w:val="hybridMultilevel"/>
    <w:tmpl w:val="78247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170B3C"/>
    <w:multiLevelType w:val="hybridMultilevel"/>
    <w:tmpl w:val="A392A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1220DC"/>
    <w:multiLevelType w:val="hybridMultilevel"/>
    <w:tmpl w:val="9B988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2D0C8A"/>
    <w:multiLevelType w:val="hybridMultilevel"/>
    <w:tmpl w:val="0BBA3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8F3E90"/>
    <w:multiLevelType w:val="hybridMultilevel"/>
    <w:tmpl w:val="F014DF04"/>
    <w:lvl w:ilvl="0" w:tplc="36305996">
      <w:start w:val="3"/>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6273C3"/>
    <w:multiLevelType w:val="multilevel"/>
    <w:tmpl w:val="040C001F"/>
    <w:lvl w:ilvl="0">
      <w:start w:val="1"/>
      <w:numFmt w:val="decimal"/>
      <w:lvlText w:val="%1."/>
      <w:lvlJc w:val="left"/>
      <w:pPr>
        <w:ind w:left="360" w:hanging="360"/>
      </w:pPr>
      <w:rPr>
        <w:rFonts w:hint="default"/>
        <w:sz w:val="36"/>
        <w:szCs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FA1ED8"/>
    <w:multiLevelType w:val="hybridMultilevel"/>
    <w:tmpl w:val="962C7C66"/>
    <w:lvl w:ilvl="0" w:tplc="EAFEC71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3820B4"/>
    <w:multiLevelType w:val="hybridMultilevel"/>
    <w:tmpl w:val="BD248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433AE2"/>
    <w:multiLevelType w:val="hybridMultilevel"/>
    <w:tmpl w:val="65F4E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5434209"/>
    <w:multiLevelType w:val="hybridMultilevel"/>
    <w:tmpl w:val="14321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79F4468"/>
    <w:multiLevelType w:val="hybridMultilevel"/>
    <w:tmpl w:val="F4CE1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254A37"/>
    <w:multiLevelType w:val="multilevel"/>
    <w:tmpl w:val="EABC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276397"/>
    <w:multiLevelType w:val="hybridMultilevel"/>
    <w:tmpl w:val="EA624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DD1569B"/>
    <w:multiLevelType w:val="hybridMultilevel"/>
    <w:tmpl w:val="63423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1802B4B"/>
    <w:multiLevelType w:val="multilevel"/>
    <w:tmpl w:val="E88245A2"/>
    <w:lvl w:ilvl="0">
      <w:start w:val="1"/>
      <w:numFmt w:val="decimal"/>
      <w:lvlText w:val="%1."/>
      <w:lvlJc w:val="left"/>
      <w:pPr>
        <w:ind w:left="360" w:hanging="360"/>
      </w:pPr>
      <w:rPr>
        <w:rFonts w:hint="default"/>
        <w:sz w:val="40"/>
        <w:szCs w:val="36"/>
      </w:rPr>
    </w:lvl>
    <w:lvl w:ilvl="1">
      <w:start w:val="1"/>
      <w:numFmt w:val="decimal"/>
      <w:lvlText w:val="%1.%2."/>
      <w:lvlJc w:val="left"/>
      <w:pPr>
        <w:ind w:left="792" w:hanging="432"/>
      </w:pPr>
      <w:rPr>
        <w:rFonts w:hint="default"/>
        <w:b/>
        <w:bCs/>
        <w:color w:val="auto"/>
        <w:sz w:val="32"/>
        <w:szCs w:val="32"/>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1FD6B13"/>
    <w:multiLevelType w:val="hybridMultilevel"/>
    <w:tmpl w:val="84704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2C434B6"/>
    <w:multiLevelType w:val="hybridMultilevel"/>
    <w:tmpl w:val="D46602D6"/>
    <w:lvl w:ilvl="0" w:tplc="488452AC">
      <w:start w:val="1"/>
      <w:numFmt w:val="decimal"/>
      <w:lvlText w:val="2.%1"/>
      <w:lvlJc w:val="left"/>
      <w:pPr>
        <w:ind w:left="720" w:hanging="360"/>
      </w:pPr>
      <w:rPr>
        <w:rFonts w:ascii="Arial" w:hAnsi="Arial" w:cs="Segoe UI" w:hint="default"/>
        <w:b/>
        <w:bCs/>
        <w:i w:val="0"/>
        <w:iCs w:val="0"/>
        <w:color w:val="242424"/>
        <w:spacing w:val="0"/>
        <w:w w:val="100"/>
        <w:sz w:val="3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5177657"/>
    <w:multiLevelType w:val="hybridMultilevel"/>
    <w:tmpl w:val="692E7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7A3240D"/>
    <w:multiLevelType w:val="multilevel"/>
    <w:tmpl w:val="8140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1F2543"/>
    <w:multiLevelType w:val="hybridMultilevel"/>
    <w:tmpl w:val="78BC2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A533979"/>
    <w:multiLevelType w:val="hybridMultilevel"/>
    <w:tmpl w:val="2C365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A7C72E8"/>
    <w:multiLevelType w:val="hybridMultilevel"/>
    <w:tmpl w:val="DAAED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D0C2B05"/>
    <w:multiLevelType w:val="hybridMultilevel"/>
    <w:tmpl w:val="40A09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1A226A4"/>
    <w:multiLevelType w:val="hybridMultilevel"/>
    <w:tmpl w:val="293A0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3624D40"/>
    <w:multiLevelType w:val="hybridMultilevel"/>
    <w:tmpl w:val="D98C507A"/>
    <w:lvl w:ilvl="0" w:tplc="B6D831F4">
      <w:start w:val="1"/>
      <w:numFmt w:val="bullet"/>
      <w:lvlText w:val=""/>
      <w:lvlJc w:val="left"/>
      <w:pPr>
        <w:ind w:left="363" w:hanging="360"/>
      </w:pPr>
      <w:rPr>
        <w:rFonts w:ascii="Symbol" w:hAnsi="Symbol" w:hint="default"/>
        <w:color w:val="auto"/>
      </w:rPr>
    </w:lvl>
    <w:lvl w:ilvl="1" w:tplc="0C0C0003" w:tentative="1">
      <w:start w:val="1"/>
      <w:numFmt w:val="bullet"/>
      <w:lvlText w:val="o"/>
      <w:lvlJc w:val="left"/>
      <w:pPr>
        <w:ind w:left="1083" w:hanging="360"/>
      </w:pPr>
      <w:rPr>
        <w:rFonts w:ascii="Courier New" w:hAnsi="Courier New" w:cs="Courier New" w:hint="default"/>
      </w:rPr>
    </w:lvl>
    <w:lvl w:ilvl="2" w:tplc="0C0C0005" w:tentative="1">
      <w:start w:val="1"/>
      <w:numFmt w:val="bullet"/>
      <w:lvlText w:val=""/>
      <w:lvlJc w:val="left"/>
      <w:pPr>
        <w:ind w:left="1803" w:hanging="360"/>
      </w:pPr>
      <w:rPr>
        <w:rFonts w:ascii="Wingdings" w:hAnsi="Wingdings" w:hint="default"/>
      </w:rPr>
    </w:lvl>
    <w:lvl w:ilvl="3" w:tplc="0C0C0001" w:tentative="1">
      <w:start w:val="1"/>
      <w:numFmt w:val="bullet"/>
      <w:lvlText w:val=""/>
      <w:lvlJc w:val="left"/>
      <w:pPr>
        <w:ind w:left="2523" w:hanging="360"/>
      </w:pPr>
      <w:rPr>
        <w:rFonts w:ascii="Symbol" w:hAnsi="Symbol" w:hint="default"/>
      </w:rPr>
    </w:lvl>
    <w:lvl w:ilvl="4" w:tplc="0C0C0003" w:tentative="1">
      <w:start w:val="1"/>
      <w:numFmt w:val="bullet"/>
      <w:lvlText w:val="o"/>
      <w:lvlJc w:val="left"/>
      <w:pPr>
        <w:ind w:left="3243" w:hanging="360"/>
      </w:pPr>
      <w:rPr>
        <w:rFonts w:ascii="Courier New" w:hAnsi="Courier New" w:cs="Courier New" w:hint="default"/>
      </w:rPr>
    </w:lvl>
    <w:lvl w:ilvl="5" w:tplc="0C0C0005" w:tentative="1">
      <w:start w:val="1"/>
      <w:numFmt w:val="bullet"/>
      <w:lvlText w:val=""/>
      <w:lvlJc w:val="left"/>
      <w:pPr>
        <w:ind w:left="3963" w:hanging="360"/>
      </w:pPr>
      <w:rPr>
        <w:rFonts w:ascii="Wingdings" w:hAnsi="Wingdings" w:hint="default"/>
      </w:rPr>
    </w:lvl>
    <w:lvl w:ilvl="6" w:tplc="0C0C0001" w:tentative="1">
      <w:start w:val="1"/>
      <w:numFmt w:val="bullet"/>
      <w:lvlText w:val=""/>
      <w:lvlJc w:val="left"/>
      <w:pPr>
        <w:ind w:left="4683" w:hanging="360"/>
      </w:pPr>
      <w:rPr>
        <w:rFonts w:ascii="Symbol" w:hAnsi="Symbol" w:hint="default"/>
      </w:rPr>
    </w:lvl>
    <w:lvl w:ilvl="7" w:tplc="0C0C0003" w:tentative="1">
      <w:start w:val="1"/>
      <w:numFmt w:val="bullet"/>
      <w:lvlText w:val="o"/>
      <w:lvlJc w:val="left"/>
      <w:pPr>
        <w:ind w:left="5403" w:hanging="360"/>
      </w:pPr>
      <w:rPr>
        <w:rFonts w:ascii="Courier New" w:hAnsi="Courier New" w:cs="Courier New" w:hint="default"/>
      </w:rPr>
    </w:lvl>
    <w:lvl w:ilvl="8" w:tplc="0C0C0005" w:tentative="1">
      <w:start w:val="1"/>
      <w:numFmt w:val="bullet"/>
      <w:lvlText w:val=""/>
      <w:lvlJc w:val="left"/>
      <w:pPr>
        <w:ind w:left="6123" w:hanging="360"/>
      </w:pPr>
      <w:rPr>
        <w:rFonts w:ascii="Wingdings" w:hAnsi="Wingdings" w:hint="default"/>
      </w:rPr>
    </w:lvl>
  </w:abstractNum>
  <w:abstractNum w:abstractNumId="53" w15:restartNumberingAfterBreak="0">
    <w:nsid w:val="737A5B13"/>
    <w:multiLevelType w:val="hybridMultilevel"/>
    <w:tmpl w:val="4B9E6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6C95B4D"/>
    <w:multiLevelType w:val="hybridMultilevel"/>
    <w:tmpl w:val="CCB61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6DA5460"/>
    <w:multiLevelType w:val="hybridMultilevel"/>
    <w:tmpl w:val="69EE4520"/>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56" w15:restartNumberingAfterBreak="0">
    <w:nsid w:val="7A7106B7"/>
    <w:multiLevelType w:val="hybridMultilevel"/>
    <w:tmpl w:val="91CE0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BC331F4"/>
    <w:multiLevelType w:val="hybridMultilevel"/>
    <w:tmpl w:val="319EF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C680769"/>
    <w:multiLevelType w:val="hybridMultilevel"/>
    <w:tmpl w:val="51DE1DC6"/>
    <w:lvl w:ilvl="0" w:tplc="36305996">
      <w:start w:val="3"/>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E9C0A7E"/>
    <w:multiLevelType w:val="multilevel"/>
    <w:tmpl w:val="641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E7417C"/>
    <w:multiLevelType w:val="hybridMultilevel"/>
    <w:tmpl w:val="0FDA9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F314592"/>
    <w:multiLevelType w:val="multilevel"/>
    <w:tmpl w:val="468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D30A1A"/>
    <w:multiLevelType w:val="multilevel"/>
    <w:tmpl w:val="71EE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357642">
    <w:abstractNumId w:val="42"/>
  </w:num>
  <w:num w:numId="2" w16cid:durableId="641620403">
    <w:abstractNumId w:val="58"/>
  </w:num>
  <w:num w:numId="3" w16cid:durableId="705258150">
    <w:abstractNumId w:val="32"/>
  </w:num>
  <w:num w:numId="4" w16cid:durableId="1150826159">
    <w:abstractNumId w:val="13"/>
  </w:num>
  <w:num w:numId="5" w16cid:durableId="1854106336">
    <w:abstractNumId w:val="31"/>
  </w:num>
  <w:num w:numId="6" w16cid:durableId="1890220839">
    <w:abstractNumId w:val="43"/>
  </w:num>
  <w:num w:numId="7" w16cid:durableId="685135548">
    <w:abstractNumId w:val="18"/>
  </w:num>
  <w:num w:numId="8" w16cid:durableId="2120173049">
    <w:abstractNumId w:val="7"/>
  </w:num>
  <w:num w:numId="9" w16cid:durableId="1299605215">
    <w:abstractNumId w:val="36"/>
  </w:num>
  <w:num w:numId="10" w16cid:durableId="129443046">
    <w:abstractNumId w:val="38"/>
  </w:num>
  <w:num w:numId="11" w16cid:durableId="803890352">
    <w:abstractNumId w:val="3"/>
  </w:num>
  <w:num w:numId="12" w16cid:durableId="205262995">
    <w:abstractNumId w:val="12"/>
  </w:num>
  <w:num w:numId="13" w16cid:durableId="38863070">
    <w:abstractNumId w:val="49"/>
  </w:num>
  <w:num w:numId="14" w16cid:durableId="199785932">
    <w:abstractNumId w:val="40"/>
  </w:num>
  <w:num w:numId="15" w16cid:durableId="1439368839">
    <w:abstractNumId w:val="5"/>
  </w:num>
  <w:num w:numId="16" w16cid:durableId="556741812">
    <w:abstractNumId w:val="59"/>
  </w:num>
  <w:num w:numId="17" w16cid:durableId="304088876">
    <w:abstractNumId w:val="34"/>
  </w:num>
  <w:num w:numId="18" w16cid:durableId="349339259">
    <w:abstractNumId w:val="55"/>
  </w:num>
  <w:num w:numId="19" w16cid:durableId="622811799">
    <w:abstractNumId w:val="10"/>
  </w:num>
  <w:num w:numId="20" w16cid:durableId="307101985">
    <w:abstractNumId w:val="9"/>
  </w:num>
  <w:num w:numId="21" w16cid:durableId="1474252792">
    <w:abstractNumId w:val="52"/>
  </w:num>
  <w:num w:numId="22" w16cid:durableId="1568419656">
    <w:abstractNumId w:val="27"/>
  </w:num>
  <w:num w:numId="23" w16cid:durableId="2137016913">
    <w:abstractNumId w:val="35"/>
  </w:num>
  <w:num w:numId="24" w16cid:durableId="803080725">
    <w:abstractNumId w:val="39"/>
  </w:num>
  <w:num w:numId="25" w16cid:durableId="488789005">
    <w:abstractNumId w:val="62"/>
  </w:num>
  <w:num w:numId="26" w16cid:durableId="1209758293">
    <w:abstractNumId w:val="51"/>
  </w:num>
  <w:num w:numId="27" w16cid:durableId="1743599474">
    <w:abstractNumId w:val="29"/>
  </w:num>
  <w:num w:numId="28" w16cid:durableId="508565625">
    <w:abstractNumId w:val="15"/>
  </w:num>
  <w:num w:numId="29" w16cid:durableId="826214883">
    <w:abstractNumId w:val="48"/>
  </w:num>
  <w:num w:numId="30" w16cid:durableId="1569537612">
    <w:abstractNumId w:val="23"/>
  </w:num>
  <w:num w:numId="31" w16cid:durableId="527715463">
    <w:abstractNumId w:val="17"/>
  </w:num>
  <w:num w:numId="32" w16cid:durableId="1144279383">
    <w:abstractNumId w:val="20"/>
  </w:num>
  <w:num w:numId="33" w16cid:durableId="16540462">
    <w:abstractNumId w:val="19"/>
  </w:num>
  <w:num w:numId="34" w16cid:durableId="221478703">
    <w:abstractNumId w:val="56"/>
  </w:num>
  <w:num w:numId="35" w16cid:durableId="335766885">
    <w:abstractNumId w:val="4"/>
  </w:num>
  <w:num w:numId="36" w16cid:durableId="1617373625">
    <w:abstractNumId w:val="47"/>
  </w:num>
  <w:num w:numId="37" w16cid:durableId="1411197060">
    <w:abstractNumId w:val="2"/>
  </w:num>
  <w:num w:numId="38" w16cid:durableId="341512002">
    <w:abstractNumId w:val="6"/>
  </w:num>
  <w:num w:numId="39" w16cid:durableId="2138449578">
    <w:abstractNumId w:val="57"/>
  </w:num>
  <w:num w:numId="40" w16cid:durableId="1240600883">
    <w:abstractNumId w:val="54"/>
  </w:num>
  <w:num w:numId="41" w16cid:durableId="698631364">
    <w:abstractNumId w:val="30"/>
  </w:num>
  <w:num w:numId="42" w16cid:durableId="822239090">
    <w:abstractNumId w:val="45"/>
  </w:num>
  <w:num w:numId="43" w16cid:durableId="1541435652">
    <w:abstractNumId w:val="1"/>
  </w:num>
  <w:num w:numId="44" w16cid:durableId="1764958664">
    <w:abstractNumId w:val="11"/>
  </w:num>
  <w:num w:numId="45" w16cid:durableId="274412114">
    <w:abstractNumId w:val="24"/>
  </w:num>
  <w:num w:numId="46" w16cid:durableId="401636829">
    <w:abstractNumId w:val="41"/>
  </w:num>
  <w:num w:numId="47" w16cid:durableId="522980586">
    <w:abstractNumId w:val="22"/>
  </w:num>
  <w:num w:numId="48" w16cid:durableId="1825466599">
    <w:abstractNumId w:val="28"/>
  </w:num>
  <w:num w:numId="49" w16cid:durableId="662514828">
    <w:abstractNumId w:val="26"/>
  </w:num>
  <w:num w:numId="50" w16cid:durableId="1807426297">
    <w:abstractNumId w:val="53"/>
  </w:num>
  <w:num w:numId="51" w16cid:durableId="2019774822">
    <w:abstractNumId w:val="60"/>
  </w:num>
  <w:num w:numId="52" w16cid:durableId="892541753">
    <w:abstractNumId w:val="14"/>
  </w:num>
  <w:num w:numId="53" w16cid:durableId="386951218">
    <w:abstractNumId w:val="16"/>
  </w:num>
  <w:num w:numId="54" w16cid:durableId="1155755099">
    <w:abstractNumId w:val="25"/>
  </w:num>
  <w:num w:numId="55" w16cid:durableId="146940986">
    <w:abstractNumId w:val="50"/>
  </w:num>
  <w:num w:numId="56" w16cid:durableId="1019741252">
    <w:abstractNumId w:val="37"/>
  </w:num>
  <w:num w:numId="57" w16cid:durableId="1464495142">
    <w:abstractNumId w:val="21"/>
  </w:num>
  <w:num w:numId="58" w16cid:durableId="491484742">
    <w:abstractNumId w:val="33"/>
  </w:num>
  <w:num w:numId="59" w16cid:durableId="1035618502">
    <w:abstractNumId w:val="8"/>
  </w:num>
  <w:num w:numId="60" w16cid:durableId="79059863">
    <w:abstractNumId w:val="61"/>
  </w:num>
  <w:num w:numId="61" w16cid:durableId="1615594381">
    <w:abstractNumId w:val="0"/>
  </w:num>
  <w:num w:numId="62" w16cid:durableId="1094210613">
    <w:abstractNumId w:val="46"/>
  </w:num>
  <w:num w:numId="63" w16cid:durableId="1018967679">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19"/>
    <w:rsid w:val="00000BDB"/>
    <w:rsid w:val="00003661"/>
    <w:rsid w:val="00003943"/>
    <w:rsid w:val="0000446A"/>
    <w:rsid w:val="00005EC0"/>
    <w:rsid w:val="00007C1E"/>
    <w:rsid w:val="00010982"/>
    <w:rsid w:val="00010BAF"/>
    <w:rsid w:val="0001145B"/>
    <w:rsid w:val="00012679"/>
    <w:rsid w:val="00013C5F"/>
    <w:rsid w:val="000152F0"/>
    <w:rsid w:val="00016115"/>
    <w:rsid w:val="000165FC"/>
    <w:rsid w:val="00016653"/>
    <w:rsid w:val="00016829"/>
    <w:rsid w:val="00020203"/>
    <w:rsid w:val="00020592"/>
    <w:rsid w:val="000208A1"/>
    <w:rsid w:val="00020DD0"/>
    <w:rsid w:val="00021B18"/>
    <w:rsid w:val="00022F5B"/>
    <w:rsid w:val="000251AE"/>
    <w:rsid w:val="00025970"/>
    <w:rsid w:val="00027FD4"/>
    <w:rsid w:val="00033DFF"/>
    <w:rsid w:val="00035E72"/>
    <w:rsid w:val="00036714"/>
    <w:rsid w:val="00037610"/>
    <w:rsid w:val="000403DB"/>
    <w:rsid w:val="00040AB9"/>
    <w:rsid w:val="00042B15"/>
    <w:rsid w:val="00042B76"/>
    <w:rsid w:val="000462E3"/>
    <w:rsid w:val="000479A7"/>
    <w:rsid w:val="000511A6"/>
    <w:rsid w:val="000536A5"/>
    <w:rsid w:val="00053D20"/>
    <w:rsid w:val="000541CD"/>
    <w:rsid w:val="000541DB"/>
    <w:rsid w:val="00054C47"/>
    <w:rsid w:val="00054E4B"/>
    <w:rsid w:val="00057376"/>
    <w:rsid w:val="00061AA9"/>
    <w:rsid w:val="0006263A"/>
    <w:rsid w:val="000630AD"/>
    <w:rsid w:val="000639B1"/>
    <w:rsid w:val="000653DA"/>
    <w:rsid w:val="00065EA7"/>
    <w:rsid w:val="00065FDB"/>
    <w:rsid w:val="00066619"/>
    <w:rsid w:val="00067043"/>
    <w:rsid w:val="00070024"/>
    <w:rsid w:val="00070734"/>
    <w:rsid w:val="00070DE9"/>
    <w:rsid w:val="0007100E"/>
    <w:rsid w:val="0007215F"/>
    <w:rsid w:val="000723FC"/>
    <w:rsid w:val="00072CC8"/>
    <w:rsid w:val="00073D25"/>
    <w:rsid w:val="000742AA"/>
    <w:rsid w:val="0007649E"/>
    <w:rsid w:val="00077359"/>
    <w:rsid w:val="00077D53"/>
    <w:rsid w:val="00080790"/>
    <w:rsid w:val="00081588"/>
    <w:rsid w:val="0008438C"/>
    <w:rsid w:val="00084665"/>
    <w:rsid w:val="000846B6"/>
    <w:rsid w:val="0008490A"/>
    <w:rsid w:val="0008504E"/>
    <w:rsid w:val="0008693F"/>
    <w:rsid w:val="0009010F"/>
    <w:rsid w:val="000903A8"/>
    <w:rsid w:val="00090D8A"/>
    <w:rsid w:val="000937E9"/>
    <w:rsid w:val="00093D57"/>
    <w:rsid w:val="0009565D"/>
    <w:rsid w:val="00095BD9"/>
    <w:rsid w:val="00095DB9"/>
    <w:rsid w:val="00097A6F"/>
    <w:rsid w:val="000A063E"/>
    <w:rsid w:val="000A1FD6"/>
    <w:rsid w:val="000A3FB1"/>
    <w:rsid w:val="000A53CC"/>
    <w:rsid w:val="000A5F57"/>
    <w:rsid w:val="000A74E4"/>
    <w:rsid w:val="000A79D7"/>
    <w:rsid w:val="000A7DEB"/>
    <w:rsid w:val="000B048E"/>
    <w:rsid w:val="000B1BF5"/>
    <w:rsid w:val="000B1CF7"/>
    <w:rsid w:val="000B3491"/>
    <w:rsid w:val="000B4A19"/>
    <w:rsid w:val="000B53F8"/>
    <w:rsid w:val="000B56EC"/>
    <w:rsid w:val="000B5DC7"/>
    <w:rsid w:val="000B5EC9"/>
    <w:rsid w:val="000B6476"/>
    <w:rsid w:val="000B695A"/>
    <w:rsid w:val="000B71D1"/>
    <w:rsid w:val="000B7D04"/>
    <w:rsid w:val="000C2843"/>
    <w:rsid w:val="000C297A"/>
    <w:rsid w:val="000C32ED"/>
    <w:rsid w:val="000C4159"/>
    <w:rsid w:val="000C5638"/>
    <w:rsid w:val="000D0796"/>
    <w:rsid w:val="000D35CE"/>
    <w:rsid w:val="000D5C34"/>
    <w:rsid w:val="000D6A4B"/>
    <w:rsid w:val="000E3B88"/>
    <w:rsid w:val="000E3E73"/>
    <w:rsid w:val="000E4A16"/>
    <w:rsid w:val="000E535C"/>
    <w:rsid w:val="000E667F"/>
    <w:rsid w:val="000F44A3"/>
    <w:rsid w:val="000F49B7"/>
    <w:rsid w:val="001011CF"/>
    <w:rsid w:val="00101742"/>
    <w:rsid w:val="00102AFA"/>
    <w:rsid w:val="001035F8"/>
    <w:rsid w:val="00104F3E"/>
    <w:rsid w:val="00105F2A"/>
    <w:rsid w:val="00106300"/>
    <w:rsid w:val="00106C1D"/>
    <w:rsid w:val="001112BC"/>
    <w:rsid w:val="00111DDD"/>
    <w:rsid w:val="00112D4B"/>
    <w:rsid w:val="0011319E"/>
    <w:rsid w:val="001138D3"/>
    <w:rsid w:val="00113C58"/>
    <w:rsid w:val="001143C9"/>
    <w:rsid w:val="00115157"/>
    <w:rsid w:val="00120A4B"/>
    <w:rsid w:val="00121883"/>
    <w:rsid w:val="00122591"/>
    <w:rsid w:val="001228E1"/>
    <w:rsid w:val="00122B7D"/>
    <w:rsid w:val="0012399A"/>
    <w:rsid w:val="00124630"/>
    <w:rsid w:val="00124B42"/>
    <w:rsid w:val="00124D02"/>
    <w:rsid w:val="00124FCA"/>
    <w:rsid w:val="00126649"/>
    <w:rsid w:val="00127385"/>
    <w:rsid w:val="00127DE3"/>
    <w:rsid w:val="00130F92"/>
    <w:rsid w:val="00131B5B"/>
    <w:rsid w:val="00131F56"/>
    <w:rsid w:val="00133916"/>
    <w:rsid w:val="001344A3"/>
    <w:rsid w:val="00135C40"/>
    <w:rsid w:val="00136AD1"/>
    <w:rsid w:val="00136B1B"/>
    <w:rsid w:val="00136D13"/>
    <w:rsid w:val="00140A8E"/>
    <w:rsid w:val="00140FBC"/>
    <w:rsid w:val="001420DF"/>
    <w:rsid w:val="00142467"/>
    <w:rsid w:val="00142B2F"/>
    <w:rsid w:val="0014501E"/>
    <w:rsid w:val="001450AA"/>
    <w:rsid w:val="0014536B"/>
    <w:rsid w:val="00151120"/>
    <w:rsid w:val="001512DA"/>
    <w:rsid w:val="0015603D"/>
    <w:rsid w:val="00156686"/>
    <w:rsid w:val="00156705"/>
    <w:rsid w:val="00156816"/>
    <w:rsid w:val="001571A5"/>
    <w:rsid w:val="0015758C"/>
    <w:rsid w:val="0016087C"/>
    <w:rsid w:val="001608DF"/>
    <w:rsid w:val="0016442C"/>
    <w:rsid w:val="00164FFE"/>
    <w:rsid w:val="00165EE5"/>
    <w:rsid w:val="00167285"/>
    <w:rsid w:val="00167660"/>
    <w:rsid w:val="00170C5E"/>
    <w:rsid w:val="00171D49"/>
    <w:rsid w:val="00174D7F"/>
    <w:rsid w:val="00177C72"/>
    <w:rsid w:val="001805FF"/>
    <w:rsid w:val="00180EE6"/>
    <w:rsid w:val="00181DAA"/>
    <w:rsid w:val="00182507"/>
    <w:rsid w:val="0018253A"/>
    <w:rsid w:val="00183AE1"/>
    <w:rsid w:val="00184883"/>
    <w:rsid w:val="00186ED0"/>
    <w:rsid w:val="00187E90"/>
    <w:rsid w:val="001924EA"/>
    <w:rsid w:val="0019331F"/>
    <w:rsid w:val="001936B1"/>
    <w:rsid w:val="00193BA7"/>
    <w:rsid w:val="00193E17"/>
    <w:rsid w:val="00194005"/>
    <w:rsid w:val="001940D7"/>
    <w:rsid w:val="00194A21"/>
    <w:rsid w:val="00194B7B"/>
    <w:rsid w:val="00195376"/>
    <w:rsid w:val="00197D46"/>
    <w:rsid w:val="001A1996"/>
    <w:rsid w:val="001A3140"/>
    <w:rsid w:val="001A371F"/>
    <w:rsid w:val="001A373A"/>
    <w:rsid w:val="001A5E3E"/>
    <w:rsid w:val="001A6885"/>
    <w:rsid w:val="001A7A41"/>
    <w:rsid w:val="001A7BB6"/>
    <w:rsid w:val="001B2301"/>
    <w:rsid w:val="001B586D"/>
    <w:rsid w:val="001B59B6"/>
    <w:rsid w:val="001B5EAD"/>
    <w:rsid w:val="001C0259"/>
    <w:rsid w:val="001C099C"/>
    <w:rsid w:val="001C2B1A"/>
    <w:rsid w:val="001C3088"/>
    <w:rsid w:val="001C3766"/>
    <w:rsid w:val="001C5BF2"/>
    <w:rsid w:val="001C6A14"/>
    <w:rsid w:val="001C7B98"/>
    <w:rsid w:val="001D0598"/>
    <w:rsid w:val="001D38B9"/>
    <w:rsid w:val="001D4B4D"/>
    <w:rsid w:val="001D599F"/>
    <w:rsid w:val="001E06EE"/>
    <w:rsid w:val="001E212A"/>
    <w:rsid w:val="001E22BF"/>
    <w:rsid w:val="001E364D"/>
    <w:rsid w:val="001E4BBB"/>
    <w:rsid w:val="001E79B3"/>
    <w:rsid w:val="001F0BC6"/>
    <w:rsid w:val="001F29E1"/>
    <w:rsid w:val="001F3EA1"/>
    <w:rsid w:val="001F3FEF"/>
    <w:rsid w:val="001F42E9"/>
    <w:rsid w:val="001F5D60"/>
    <w:rsid w:val="001F7555"/>
    <w:rsid w:val="00201987"/>
    <w:rsid w:val="0020319F"/>
    <w:rsid w:val="0020348F"/>
    <w:rsid w:val="002047CD"/>
    <w:rsid w:val="00204BE7"/>
    <w:rsid w:val="002053B9"/>
    <w:rsid w:val="00207C2D"/>
    <w:rsid w:val="00207C44"/>
    <w:rsid w:val="00210299"/>
    <w:rsid w:val="00212716"/>
    <w:rsid w:val="0021341C"/>
    <w:rsid w:val="00213B68"/>
    <w:rsid w:val="00217E44"/>
    <w:rsid w:val="00220EA1"/>
    <w:rsid w:val="00222621"/>
    <w:rsid w:val="00222791"/>
    <w:rsid w:val="0022319C"/>
    <w:rsid w:val="00223E11"/>
    <w:rsid w:val="00224ADF"/>
    <w:rsid w:val="002252F3"/>
    <w:rsid w:val="00225BA8"/>
    <w:rsid w:val="00225F23"/>
    <w:rsid w:val="0023234B"/>
    <w:rsid w:val="0023401B"/>
    <w:rsid w:val="002344A5"/>
    <w:rsid w:val="00235519"/>
    <w:rsid w:val="00235A51"/>
    <w:rsid w:val="00236D4D"/>
    <w:rsid w:val="002419D9"/>
    <w:rsid w:val="00242D0F"/>
    <w:rsid w:val="00244465"/>
    <w:rsid w:val="002449C4"/>
    <w:rsid w:val="0024504B"/>
    <w:rsid w:val="00245855"/>
    <w:rsid w:val="002460A2"/>
    <w:rsid w:val="00246FD4"/>
    <w:rsid w:val="0025010F"/>
    <w:rsid w:val="00251EFB"/>
    <w:rsid w:val="00252922"/>
    <w:rsid w:val="00253CF0"/>
    <w:rsid w:val="00253E73"/>
    <w:rsid w:val="0025450E"/>
    <w:rsid w:val="00255B37"/>
    <w:rsid w:val="00257199"/>
    <w:rsid w:val="00257781"/>
    <w:rsid w:val="00257B81"/>
    <w:rsid w:val="002606CF"/>
    <w:rsid w:val="00261116"/>
    <w:rsid w:val="002613FA"/>
    <w:rsid w:val="00262833"/>
    <w:rsid w:val="00263A26"/>
    <w:rsid w:val="00264777"/>
    <w:rsid w:val="00265500"/>
    <w:rsid w:val="00265745"/>
    <w:rsid w:val="00265CBE"/>
    <w:rsid w:val="00266329"/>
    <w:rsid w:val="00270791"/>
    <w:rsid w:val="00271BEC"/>
    <w:rsid w:val="00271D31"/>
    <w:rsid w:val="00272A16"/>
    <w:rsid w:val="00272FEA"/>
    <w:rsid w:val="002738E9"/>
    <w:rsid w:val="0027520C"/>
    <w:rsid w:val="00275CE7"/>
    <w:rsid w:val="00277643"/>
    <w:rsid w:val="002779E0"/>
    <w:rsid w:val="00277A64"/>
    <w:rsid w:val="00281AA5"/>
    <w:rsid w:val="00283121"/>
    <w:rsid w:val="00283E1F"/>
    <w:rsid w:val="002920CD"/>
    <w:rsid w:val="002926D4"/>
    <w:rsid w:val="00292CE6"/>
    <w:rsid w:val="00293AC6"/>
    <w:rsid w:val="0029732B"/>
    <w:rsid w:val="002979E5"/>
    <w:rsid w:val="002A129A"/>
    <w:rsid w:val="002A1CC1"/>
    <w:rsid w:val="002A1F51"/>
    <w:rsid w:val="002A223A"/>
    <w:rsid w:val="002A345B"/>
    <w:rsid w:val="002A38BA"/>
    <w:rsid w:val="002A4F70"/>
    <w:rsid w:val="002A5146"/>
    <w:rsid w:val="002A5497"/>
    <w:rsid w:val="002A6F6B"/>
    <w:rsid w:val="002A70D8"/>
    <w:rsid w:val="002B0525"/>
    <w:rsid w:val="002B3A7E"/>
    <w:rsid w:val="002B57D7"/>
    <w:rsid w:val="002B624A"/>
    <w:rsid w:val="002B6630"/>
    <w:rsid w:val="002B6D11"/>
    <w:rsid w:val="002B7454"/>
    <w:rsid w:val="002C16DF"/>
    <w:rsid w:val="002C4432"/>
    <w:rsid w:val="002C6A7C"/>
    <w:rsid w:val="002C73A1"/>
    <w:rsid w:val="002D10FA"/>
    <w:rsid w:val="002D23A0"/>
    <w:rsid w:val="002D2524"/>
    <w:rsid w:val="002D365A"/>
    <w:rsid w:val="002D38B4"/>
    <w:rsid w:val="002D48C6"/>
    <w:rsid w:val="002D4BCB"/>
    <w:rsid w:val="002D645F"/>
    <w:rsid w:val="002D69AC"/>
    <w:rsid w:val="002D7000"/>
    <w:rsid w:val="002D76B1"/>
    <w:rsid w:val="002D7B07"/>
    <w:rsid w:val="002E1819"/>
    <w:rsid w:val="002E42CC"/>
    <w:rsid w:val="002E66C2"/>
    <w:rsid w:val="002E6866"/>
    <w:rsid w:val="002F25EB"/>
    <w:rsid w:val="002F35AA"/>
    <w:rsid w:val="002F5217"/>
    <w:rsid w:val="002F6C69"/>
    <w:rsid w:val="002F7AE8"/>
    <w:rsid w:val="00300B0B"/>
    <w:rsid w:val="003021BE"/>
    <w:rsid w:val="0030238B"/>
    <w:rsid w:val="00302690"/>
    <w:rsid w:val="00302B6A"/>
    <w:rsid w:val="0030324E"/>
    <w:rsid w:val="00305075"/>
    <w:rsid w:val="003052AB"/>
    <w:rsid w:val="00306C76"/>
    <w:rsid w:val="003077C8"/>
    <w:rsid w:val="003079D8"/>
    <w:rsid w:val="00311511"/>
    <w:rsid w:val="00311F22"/>
    <w:rsid w:val="00312163"/>
    <w:rsid w:val="00312773"/>
    <w:rsid w:val="003135A9"/>
    <w:rsid w:val="00313DB8"/>
    <w:rsid w:val="00314CB2"/>
    <w:rsid w:val="00316164"/>
    <w:rsid w:val="003162B3"/>
    <w:rsid w:val="00316771"/>
    <w:rsid w:val="00324CF0"/>
    <w:rsid w:val="00326CBD"/>
    <w:rsid w:val="00326D50"/>
    <w:rsid w:val="00326F8A"/>
    <w:rsid w:val="003271A6"/>
    <w:rsid w:val="00332392"/>
    <w:rsid w:val="00332CC6"/>
    <w:rsid w:val="0033307A"/>
    <w:rsid w:val="00333B88"/>
    <w:rsid w:val="0033633E"/>
    <w:rsid w:val="003425A3"/>
    <w:rsid w:val="00343A62"/>
    <w:rsid w:val="00343C4E"/>
    <w:rsid w:val="00343C55"/>
    <w:rsid w:val="003445D5"/>
    <w:rsid w:val="003447C9"/>
    <w:rsid w:val="00347026"/>
    <w:rsid w:val="00350C3D"/>
    <w:rsid w:val="00351580"/>
    <w:rsid w:val="003549DA"/>
    <w:rsid w:val="0035654F"/>
    <w:rsid w:val="003565D5"/>
    <w:rsid w:val="003570AC"/>
    <w:rsid w:val="00357C7E"/>
    <w:rsid w:val="00360CAC"/>
    <w:rsid w:val="00362BCB"/>
    <w:rsid w:val="003635C0"/>
    <w:rsid w:val="00363869"/>
    <w:rsid w:val="00363D65"/>
    <w:rsid w:val="003666E3"/>
    <w:rsid w:val="003675D2"/>
    <w:rsid w:val="0036761D"/>
    <w:rsid w:val="0037349A"/>
    <w:rsid w:val="00373E0D"/>
    <w:rsid w:val="00374135"/>
    <w:rsid w:val="003754C9"/>
    <w:rsid w:val="003771A7"/>
    <w:rsid w:val="00377F81"/>
    <w:rsid w:val="0038029C"/>
    <w:rsid w:val="003810D4"/>
    <w:rsid w:val="0038138D"/>
    <w:rsid w:val="00381786"/>
    <w:rsid w:val="00382536"/>
    <w:rsid w:val="00382835"/>
    <w:rsid w:val="00382D38"/>
    <w:rsid w:val="00383EBF"/>
    <w:rsid w:val="003863F1"/>
    <w:rsid w:val="00386D70"/>
    <w:rsid w:val="003871A1"/>
    <w:rsid w:val="00390245"/>
    <w:rsid w:val="00390F0B"/>
    <w:rsid w:val="00392BA6"/>
    <w:rsid w:val="003930C2"/>
    <w:rsid w:val="00395518"/>
    <w:rsid w:val="0039666F"/>
    <w:rsid w:val="00397AF8"/>
    <w:rsid w:val="003A0E05"/>
    <w:rsid w:val="003A315A"/>
    <w:rsid w:val="003A61BA"/>
    <w:rsid w:val="003A6979"/>
    <w:rsid w:val="003B11EF"/>
    <w:rsid w:val="003B3262"/>
    <w:rsid w:val="003B3C74"/>
    <w:rsid w:val="003B4BF4"/>
    <w:rsid w:val="003B50AE"/>
    <w:rsid w:val="003B577A"/>
    <w:rsid w:val="003B6DE5"/>
    <w:rsid w:val="003B7CBB"/>
    <w:rsid w:val="003C05A3"/>
    <w:rsid w:val="003C112C"/>
    <w:rsid w:val="003C2108"/>
    <w:rsid w:val="003C3100"/>
    <w:rsid w:val="003C39F1"/>
    <w:rsid w:val="003C4019"/>
    <w:rsid w:val="003C47F0"/>
    <w:rsid w:val="003C6228"/>
    <w:rsid w:val="003C62E1"/>
    <w:rsid w:val="003C75F6"/>
    <w:rsid w:val="003D2EF0"/>
    <w:rsid w:val="003D3895"/>
    <w:rsid w:val="003D4C2D"/>
    <w:rsid w:val="003D5918"/>
    <w:rsid w:val="003E1843"/>
    <w:rsid w:val="003E339B"/>
    <w:rsid w:val="003E5700"/>
    <w:rsid w:val="003E5DB0"/>
    <w:rsid w:val="003E6844"/>
    <w:rsid w:val="003E6B3D"/>
    <w:rsid w:val="003E78B2"/>
    <w:rsid w:val="003E7DEB"/>
    <w:rsid w:val="003F063D"/>
    <w:rsid w:val="003F0FEB"/>
    <w:rsid w:val="003F1A65"/>
    <w:rsid w:val="003F1E19"/>
    <w:rsid w:val="003F20D4"/>
    <w:rsid w:val="003F2D04"/>
    <w:rsid w:val="003F4D75"/>
    <w:rsid w:val="003F6C4A"/>
    <w:rsid w:val="003F7CF5"/>
    <w:rsid w:val="003F7DCF"/>
    <w:rsid w:val="00403877"/>
    <w:rsid w:val="00403CA3"/>
    <w:rsid w:val="004064E3"/>
    <w:rsid w:val="00406E67"/>
    <w:rsid w:val="00413300"/>
    <w:rsid w:val="00413B7F"/>
    <w:rsid w:val="004144E9"/>
    <w:rsid w:val="00415A8B"/>
    <w:rsid w:val="004171A0"/>
    <w:rsid w:val="00421E7F"/>
    <w:rsid w:val="004244B3"/>
    <w:rsid w:val="0042469B"/>
    <w:rsid w:val="00426D68"/>
    <w:rsid w:val="00431E6D"/>
    <w:rsid w:val="00433C5C"/>
    <w:rsid w:val="004360E4"/>
    <w:rsid w:val="004369FA"/>
    <w:rsid w:val="004375DD"/>
    <w:rsid w:val="004377AB"/>
    <w:rsid w:val="00440810"/>
    <w:rsid w:val="00440817"/>
    <w:rsid w:val="00440B84"/>
    <w:rsid w:val="00444BE1"/>
    <w:rsid w:val="00445807"/>
    <w:rsid w:val="00446546"/>
    <w:rsid w:val="00447596"/>
    <w:rsid w:val="00447EEA"/>
    <w:rsid w:val="00452786"/>
    <w:rsid w:val="00455A6B"/>
    <w:rsid w:val="004562CF"/>
    <w:rsid w:val="00456463"/>
    <w:rsid w:val="00457262"/>
    <w:rsid w:val="0045787B"/>
    <w:rsid w:val="004629D6"/>
    <w:rsid w:val="0046314F"/>
    <w:rsid w:val="00463747"/>
    <w:rsid w:val="00463C63"/>
    <w:rsid w:val="004678A3"/>
    <w:rsid w:val="00471782"/>
    <w:rsid w:val="00471D33"/>
    <w:rsid w:val="0047302E"/>
    <w:rsid w:val="0047370C"/>
    <w:rsid w:val="00473AB6"/>
    <w:rsid w:val="00473EA1"/>
    <w:rsid w:val="00474373"/>
    <w:rsid w:val="00474E4E"/>
    <w:rsid w:val="00475278"/>
    <w:rsid w:val="00480199"/>
    <w:rsid w:val="00483BC7"/>
    <w:rsid w:val="00483EC8"/>
    <w:rsid w:val="00484E8B"/>
    <w:rsid w:val="00484FA8"/>
    <w:rsid w:val="00485AB2"/>
    <w:rsid w:val="004871D1"/>
    <w:rsid w:val="00491E53"/>
    <w:rsid w:val="0049236B"/>
    <w:rsid w:val="00493BAA"/>
    <w:rsid w:val="00495134"/>
    <w:rsid w:val="0049647B"/>
    <w:rsid w:val="00496F25"/>
    <w:rsid w:val="00497626"/>
    <w:rsid w:val="004A03D3"/>
    <w:rsid w:val="004A3D2B"/>
    <w:rsid w:val="004A4816"/>
    <w:rsid w:val="004A5BEE"/>
    <w:rsid w:val="004B0028"/>
    <w:rsid w:val="004B076B"/>
    <w:rsid w:val="004B23F8"/>
    <w:rsid w:val="004B27BE"/>
    <w:rsid w:val="004B4679"/>
    <w:rsid w:val="004B4993"/>
    <w:rsid w:val="004B516A"/>
    <w:rsid w:val="004B559B"/>
    <w:rsid w:val="004B6BEB"/>
    <w:rsid w:val="004B6FA8"/>
    <w:rsid w:val="004B6FF7"/>
    <w:rsid w:val="004B7810"/>
    <w:rsid w:val="004C020F"/>
    <w:rsid w:val="004C1A76"/>
    <w:rsid w:val="004C2AEE"/>
    <w:rsid w:val="004C4F6E"/>
    <w:rsid w:val="004D291A"/>
    <w:rsid w:val="004D30E6"/>
    <w:rsid w:val="004D3A97"/>
    <w:rsid w:val="004D3DC0"/>
    <w:rsid w:val="004D7B68"/>
    <w:rsid w:val="004E22E9"/>
    <w:rsid w:val="004E4287"/>
    <w:rsid w:val="004E45F1"/>
    <w:rsid w:val="004E49B7"/>
    <w:rsid w:val="004E4D97"/>
    <w:rsid w:val="004E508B"/>
    <w:rsid w:val="004E5152"/>
    <w:rsid w:val="004E57FA"/>
    <w:rsid w:val="004E6E49"/>
    <w:rsid w:val="004F114E"/>
    <w:rsid w:val="004F2D1D"/>
    <w:rsid w:val="004F3268"/>
    <w:rsid w:val="004F3B61"/>
    <w:rsid w:val="004F479E"/>
    <w:rsid w:val="004F7BB7"/>
    <w:rsid w:val="004F7D00"/>
    <w:rsid w:val="00501E16"/>
    <w:rsid w:val="00501F27"/>
    <w:rsid w:val="005023A7"/>
    <w:rsid w:val="00502B8A"/>
    <w:rsid w:val="005031F9"/>
    <w:rsid w:val="00504360"/>
    <w:rsid w:val="0050644D"/>
    <w:rsid w:val="005064D4"/>
    <w:rsid w:val="005071C5"/>
    <w:rsid w:val="0051312B"/>
    <w:rsid w:val="00514C14"/>
    <w:rsid w:val="00516646"/>
    <w:rsid w:val="00516916"/>
    <w:rsid w:val="0052139F"/>
    <w:rsid w:val="00522812"/>
    <w:rsid w:val="00522A65"/>
    <w:rsid w:val="005235A0"/>
    <w:rsid w:val="005238EC"/>
    <w:rsid w:val="00526222"/>
    <w:rsid w:val="00526795"/>
    <w:rsid w:val="0053175D"/>
    <w:rsid w:val="00531D5B"/>
    <w:rsid w:val="00533682"/>
    <w:rsid w:val="005358F6"/>
    <w:rsid w:val="005361FC"/>
    <w:rsid w:val="00537FDB"/>
    <w:rsid w:val="00540AD2"/>
    <w:rsid w:val="005415D1"/>
    <w:rsid w:val="00543474"/>
    <w:rsid w:val="00543DA8"/>
    <w:rsid w:val="0054659E"/>
    <w:rsid w:val="00547238"/>
    <w:rsid w:val="00547264"/>
    <w:rsid w:val="00547F4F"/>
    <w:rsid w:val="005506DC"/>
    <w:rsid w:val="00550C19"/>
    <w:rsid w:val="00551530"/>
    <w:rsid w:val="00552FDF"/>
    <w:rsid w:val="00554B77"/>
    <w:rsid w:val="0055511E"/>
    <w:rsid w:val="0055557D"/>
    <w:rsid w:val="005601C3"/>
    <w:rsid w:val="00560DD0"/>
    <w:rsid w:val="00561104"/>
    <w:rsid w:val="00561A4E"/>
    <w:rsid w:val="0056231E"/>
    <w:rsid w:val="005647BD"/>
    <w:rsid w:val="00566E22"/>
    <w:rsid w:val="00567C3C"/>
    <w:rsid w:val="005723CB"/>
    <w:rsid w:val="00572901"/>
    <w:rsid w:val="005733D5"/>
    <w:rsid w:val="00573505"/>
    <w:rsid w:val="00573B63"/>
    <w:rsid w:val="00576B6D"/>
    <w:rsid w:val="005777F9"/>
    <w:rsid w:val="00580390"/>
    <w:rsid w:val="00581001"/>
    <w:rsid w:val="005818C7"/>
    <w:rsid w:val="005819E5"/>
    <w:rsid w:val="005820EB"/>
    <w:rsid w:val="00584047"/>
    <w:rsid w:val="0058463B"/>
    <w:rsid w:val="00584A40"/>
    <w:rsid w:val="00587230"/>
    <w:rsid w:val="00587254"/>
    <w:rsid w:val="005879EC"/>
    <w:rsid w:val="005912DF"/>
    <w:rsid w:val="00592211"/>
    <w:rsid w:val="005930CA"/>
    <w:rsid w:val="00594A2E"/>
    <w:rsid w:val="005960AE"/>
    <w:rsid w:val="00597770"/>
    <w:rsid w:val="0059792A"/>
    <w:rsid w:val="005A06E9"/>
    <w:rsid w:val="005A071F"/>
    <w:rsid w:val="005A0747"/>
    <w:rsid w:val="005A0D5C"/>
    <w:rsid w:val="005A154D"/>
    <w:rsid w:val="005A205C"/>
    <w:rsid w:val="005A225E"/>
    <w:rsid w:val="005A3384"/>
    <w:rsid w:val="005B049A"/>
    <w:rsid w:val="005B33B7"/>
    <w:rsid w:val="005B45E9"/>
    <w:rsid w:val="005B553A"/>
    <w:rsid w:val="005B62E0"/>
    <w:rsid w:val="005B6A16"/>
    <w:rsid w:val="005B6F66"/>
    <w:rsid w:val="005C16C4"/>
    <w:rsid w:val="005C2C03"/>
    <w:rsid w:val="005C37F1"/>
    <w:rsid w:val="005C6499"/>
    <w:rsid w:val="005C6793"/>
    <w:rsid w:val="005C6F3C"/>
    <w:rsid w:val="005C7241"/>
    <w:rsid w:val="005D0C78"/>
    <w:rsid w:val="005D0F91"/>
    <w:rsid w:val="005D1DE3"/>
    <w:rsid w:val="005D242A"/>
    <w:rsid w:val="005D2526"/>
    <w:rsid w:val="005D267F"/>
    <w:rsid w:val="005D2948"/>
    <w:rsid w:val="005D377F"/>
    <w:rsid w:val="005D3C60"/>
    <w:rsid w:val="005D5471"/>
    <w:rsid w:val="005D5B53"/>
    <w:rsid w:val="005D70EB"/>
    <w:rsid w:val="005D7226"/>
    <w:rsid w:val="005E05BD"/>
    <w:rsid w:val="005E3703"/>
    <w:rsid w:val="005E3AD3"/>
    <w:rsid w:val="005E4FA3"/>
    <w:rsid w:val="005F2DE8"/>
    <w:rsid w:val="005F4533"/>
    <w:rsid w:val="005F6161"/>
    <w:rsid w:val="005F70A2"/>
    <w:rsid w:val="005F72E4"/>
    <w:rsid w:val="0060387E"/>
    <w:rsid w:val="00604C2C"/>
    <w:rsid w:val="0060549C"/>
    <w:rsid w:val="006056DE"/>
    <w:rsid w:val="00606842"/>
    <w:rsid w:val="0061105E"/>
    <w:rsid w:val="00611750"/>
    <w:rsid w:val="006118C2"/>
    <w:rsid w:val="00611BA2"/>
    <w:rsid w:val="0061253B"/>
    <w:rsid w:val="00612F98"/>
    <w:rsid w:val="006142C9"/>
    <w:rsid w:val="00614C1F"/>
    <w:rsid w:val="00617A9B"/>
    <w:rsid w:val="006201BC"/>
    <w:rsid w:val="006233BF"/>
    <w:rsid w:val="00624F83"/>
    <w:rsid w:val="0062680B"/>
    <w:rsid w:val="0062717A"/>
    <w:rsid w:val="006275BF"/>
    <w:rsid w:val="00630933"/>
    <w:rsid w:val="00633A17"/>
    <w:rsid w:val="00633A4B"/>
    <w:rsid w:val="00633C46"/>
    <w:rsid w:val="006357EA"/>
    <w:rsid w:val="00636424"/>
    <w:rsid w:val="00636CC4"/>
    <w:rsid w:val="00637092"/>
    <w:rsid w:val="006377F6"/>
    <w:rsid w:val="0064018F"/>
    <w:rsid w:val="0064058C"/>
    <w:rsid w:val="00640937"/>
    <w:rsid w:val="00641CC3"/>
    <w:rsid w:val="00642735"/>
    <w:rsid w:val="006430B0"/>
    <w:rsid w:val="006432CE"/>
    <w:rsid w:val="0064388C"/>
    <w:rsid w:val="00643C39"/>
    <w:rsid w:val="0064526A"/>
    <w:rsid w:val="00645D49"/>
    <w:rsid w:val="006508F8"/>
    <w:rsid w:val="00651F0D"/>
    <w:rsid w:val="00652597"/>
    <w:rsid w:val="00652927"/>
    <w:rsid w:val="00654176"/>
    <w:rsid w:val="00655313"/>
    <w:rsid w:val="00655AC7"/>
    <w:rsid w:val="00656483"/>
    <w:rsid w:val="00660207"/>
    <w:rsid w:val="006602E2"/>
    <w:rsid w:val="006620DD"/>
    <w:rsid w:val="006622C7"/>
    <w:rsid w:val="006627DC"/>
    <w:rsid w:val="00664AAC"/>
    <w:rsid w:val="00664E2B"/>
    <w:rsid w:val="0066571F"/>
    <w:rsid w:val="00665DCD"/>
    <w:rsid w:val="0067167A"/>
    <w:rsid w:val="006718EB"/>
    <w:rsid w:val="00671C76"/>
    <w:rsid w:val="00671EE6"/>
    <w:rsid w:val="00672615"/>
    <w:rsid w:val="00675B8C"/>
    <w:rsid w:val="00676937"/>
    <w:rsid w:val="006778FA"/>
    <w:rsid w:val="00677A26"/>
    <w:rsid w:val="006806AD"/>
    <w:rsid w:val="00680D75"/>
    <w:rsid w:val="00681D24"/>
    <w:rsid w:val="00682F2C"/>
    <w:rsid w:val="0068477E"/>
    <w:rsid w:val="00685D62"/>
    <w:rsid w:val="00685E20"/>
    <w:rsid w:val="00687EE3"/>
    <w:rsid w:val="00690CB3"/>
    <w:rsid w:val="006921E7"/>
    <w:rsid w:val="0069446E"/>
    <w:rsid w:val="0069618E"/>
    <w:rsid w:val="00697B88"/>
    <w:rsid w:val="006A061E"/>
    <w:rsid w:val="006A1D10"/>
    <w:rsid w:val="006A3B10"/>
    <w:rsid w:val="006A41F9"/>
    <w:rsid w:val="006A452F"/>
    <w:rsid w:val="006A5054"/>
    <w:rsid w:val="006A57F8"/>
    <w:rsid w:val="006A68A2"/>
    <w:rsid w:val="006A7E9A"/>
    <w:rsid w:val="006B1294"/>
    <w:rsid w:val="006B144A"/>
    <w:rsid w:val="006B2576"/>
    <w:rsid w:val="006B3604"/>
    <w:rsid w:val="006B4770"/>
    <w:rsid w:val="006B5F43"/>
    <w:rsid w:val="006B6408"/>
    <w:rsid w:val="006B716D"/>
    <w:rsid w:val="006B72EB"/>
    <w:rsid w:val="006B7D67"/>
    <w:rsid w:val="006C0421"/>
    <w:rsid w:val="006C071C"/>
    <w:rsid w:val="006C22D7"/>
    <w:rsid w:val="006C32E8"/>
    <w:rsid w:val="006C6A9A"/>
    <w:rsid w:val="006C70FB"/>
    <w:rsid w:val="006D0C59"/>
    <w:rsid w:val="006D21C7"/>
    <w:rsid w:val="006D2C89"/>
    <w:rsid w:val="006D4519"/>
    <w:rsid w:val="006D607A"/>
    <w:rsid w:val="006E2131"/>
    <w:rsid w:val="006E2455"/>
    <w:rsid w:val="006E4B8D"/>
    <w:rsid w:val="006E52E3"/>
    <w:rsid w:val="006E6FFF"/>
    <w:rsid w:val="006E7904"/>
    <w:rsid w:val="006F00B6"/>
    <w:rsid w:val="006F3923"/>
    <w:rsid w:val="006F3AFE"/>
    <w:rsid w:val="006F4D30"/>
    <w:rsid w:val="006F5668"/>
    <w:rsid w:val="006F6D01"/>
    <w:rsid w:val="00700AF4"/>
    <w:rsid w:val="00702C07"/>
    <w:rsid w:val="00703351"/>
    <w:rsid w:val="00703D25"/>
    <w:rsid w:val="00704577"/>
    <w:rsid w:val="00706384"/>
    <w:rsid w:val="00706415"/>
    <w:rsid w:val="00706CFE"/>
    <w:rsid w:val="0071139D"/>
    <w:rsid w:val="00711C15"/>
    <w:rsid w:val="00713331"/>
    <w:rsid w:val="0071333D"/>
    <w:rsid w:val="0071422C"/>
    <w:rsid w:val="0071493D"/>
    <w:rsid w:val="00716727"/>
    <w:rsid w:val="0071723A"/>
    <w:rsid w:val="00720D6E"/>
    <w:rsid w:val="007211D8"/>
    <w:rsid w:val="00723BEB"/>
    <w:rsid w:val="007267BE"/>
    <w:rsid w:val="00726F20"/>
    <w:rsid w:val="00726F37"/>
    <w:rsid w:val="00730512"/>
    <w:rsid w:val="00730A58"/>
    <w:rsid w:val="007310E6"/>
    <w:rsid w:val="00731EC7"/>
    <w:rsid w:val="00732EF7"/>
    <w:rsid w:val="00733974"/>
    <w:rsid w:val="00736337"/>
    <w:rsid w:val="007366BD"/>
    <w:rsid w:val="00737FC1"/>
    <w:rsid w:val="007400BD"/>
    <w:rsid w:val="00740DE3"/>
    <w:rsid w:val="00745551"/>
    <w:rsid w:val="0074745A"/>
    <w:rsid w:val="007476B5"/>
    <w:rsid w:val="00747BAC"/>
    <w:rsid w:val="00750292"/>
    <w:rsid w:val="007502D3"/>
    <w:rsid w:val="0075061E"/>
    <w:rsid w:val="007520CD"/>
    <w:rsid w:val="007531A3"/>
    <w:rsid w:val="007547BB"/>
    <w:rsid w:val="00754C25"/>
    <w:rsid w:val="007564DB"/>
    <w:rsid w:val="007575DB"/>
    <w:rsid w:val="007601CB"/>
    <w:rsid w:val="00760BD5"/>
    <w:rsid w:val="00761258"/>
    <w:rsid w:val="00763491"/>
    <w:rsid w:val="00764DEE"/>
    <w:rsid w:val="00773D32"/>
    <w:rsid w:val="00774E9F"/>
    <w:rsid w:val="0077545F"/>
    <w:rsid w:val="00776516"/>
    <w:rsid w:val="007810F2"/>
    <w:rsid w:val="00781867"/>
    <w:rsid w:val="00782263"/>
    <w:rsid w:val="00782723"/>
    <w:rsid w:val="0078512E"/>
    <w:rsid w:val="007853D4"/>
    <w:rsid w:val="00786894"/>
    <w:rsid w:val="00787621"/>
    <w:rsid w:val="007879C2"/>
    <w:rsid w:val="007902A9"/>
    <w:rsid w:val="007903DA"/>
    <w:rsid w:val="00791FE4"/>
    <w:rsid w:val="00792510"/>
    <w:rsid w:val="007928E4"/>
    <w:rsid w:val="007932F5"/>
    <w:rsid w:val="00793400"/>
    <w:rsid w:val="00793C71"/>
    <w:rsid w:val="007A0AFB"/>
    <w:rsid w:val="007A151D"/>
    <w:rsid w:val="007A20A5"/>
    <w:rsid w:val="007A2116"/>
    <w:rsid w:val="007A21AD"/>
    <w:rsid w:val="007A3CED"/>
    <w:rsid w:val="007A6A35"/>
    <w:rsid w:val="007A6FA2"/>
    <w:rsid w:val="007A7E58"/>
    <w:rsid w:val="007B079C"/>
    <w:rsid w:val="007B0FA9"/>
    <w:rsid w:val="007B31D9"/>
    <w:rsid w:val="007B39FE"/>
    <w:rsid w:val="007B48A7"/>
    <w:rsid w:val="007C0B2C"/>
    <w:rsid w:val="007C130F"/>
    <w:rsid w:val="007C1A5D"/>
    <w:rsid w:val="007C33B9"/>
    <w:rsid w:val="007C434E"/>
    <w:rsid w:val="007C535B"/>
    <w:rsid w:val="007C58FE"/>
    <w:rsid w:val="007D4E01"/>
    <w:rsid w:val="007D6278"/>
    <w:rsid w:val="007E16BF"/>
    <w:rsid w:val="007E2F59"/>
    <w:rsid w:val="007E31BF"/>
    <w:rsid w:val="007E48E1"/>
    <w:rsid w:val="007E513D"/>
    <w:rsid w:val="007F035E"/>
    <w:rsid w:val="007F0C29"/>
    <w:rsid w:val="007F1057"/>
    <w:rsid w:val="007F28B4"/>
    <w:rsid w:val="007F3CA6"/>
    <w:rsid w:val="007F3E78"/>
    <w:rsid w:val="007F5738"/>
    <w:rsid w:val="007F5F64"/>
    <w:rsid w:val="007F7CA2"/>
    <w:rsid w:val="00801C2E"/>
    <w:rsid w:val="0080224E"/>
    <w:rsid w:val="0080268F"/>
    <w:rsid w:val="008026CD"/>
    <w:rsid w:val="00803262"/>
    <w:rsid w:val="00804B75"/>
    <w:rsid w:val="00805DF8"/>
    <w:rsid w:val="00806D44"/>
    <w:rsid w:val="00811042"/>
    <w:rsid w:val="00813217"/>
    <w:rsid w:val="008139DF"/>
    <w:rsid w:val="008144D6"/>
    <w:rsid w:val="008151B2"/>
    <w:rsid w:val="008173BE"/>
    <w:rsid w:val="00822EF2"/>
    <w:rsid w:val="008230F9"/>
    <w:rsid w:val="00824807"/>
    <w:rsid w:val="0082626C"/>
    <w:rsid w:val="00826E89"/>
    <w:rsid w:val="008271C8"/>
    <w:rsid w:val="008303B3"/>
    <w:rsid w:val="008315D2"/>
    <w:rsid w:val="0083200A"/>
    <w:rsid w:val="00833B7C"/>
    <w:rsid w:val="00834A32"/>
    <w:rsid w:val="00836364"/>
    <w:rsid w:val="00836944"/>
    <w:rsid w:val="00836CB2"/>
    <w:rsid w:val="00837ED0"/>
    <w:rsid w:val="00844163"/>
    <w:rsid w:val="0084485A"/>
    <w:rsid w:val="00845472"/>
    <w:rsid w:val="0084586B"/>
    <w:rsid w:val="00846DB1"/>
    <w:rsid w:val="00855EA8"/>
    <w:rsid w:val="008565D1"/>
    <w:rsid w:val="00857BCB"/>
    <w:rsid w:val="00862A4F"/>
    <w:rsid w:val="00863B11"/>
    <w:rsid w:val="00864F5D"/>
    <w:rsid w:val="0086688E"/>
    <w:rsid w:val="008718B2"/>
    <w:rsid w:val="00874628"/>
    <w:rsid w:val="0087608F"/>
    <w:rsid w:val="00880638"/>
    <w:rsid w:val="00880733"/>
    <w:rsid w:val="00880D23"/>
    <w:rsid w:val="0088100D"/>
    <w:rsid w:val="0088455D"/>
    <w:rsid w:val="008847ED"/>
    <w:rsid w:val="008848F0"/>
    <w:rsid w:val="008852DF"/>
    <w:rsid w:val="00886AF8"/>
    <w:rsid w:val="008874E5"/>
    <w:rsid w:val="00890A65"/>
    <w:rsid w:val="00891137"/>
    <w:rsid w:val="00892240"/>
    <w:rsid w:val="00892A1C"/>
    <w:rsid w:val="00893848"/>
    <w:rsid w:val="00893890"/>
    <w:rsid w:val="008943A8"/>
    <w:rsid w:val="008966F7"/>
    <w:rsid w:val="00896D53"/>
    <w:rsid w:val="008A0576"/>
    <w:rsid w:val="008A0A11"/>
    <w:rsid w:val="008A0DCF"/>
    <w:rsid w:val="008A10C3"/>
    <w:rsid w:val="008A1531"/>
    <w:rsid w:val="008A2F2F"/>
    <w:rsid w:val="008A302B"/>
    <w:rsid w:val="008A39B9"/>
    <w:rsid w:val="008A619E"/>
    <w:rsid w:val="008A6DEE"/>
    <w:rsid w:val="008A707C"/>
    <w:rsid w:val="008B002C"/>
    <w:rsid w:val="008B2B99"/>
    <w:rsid w:val="008B3462"/>
    <w:rsid w:val="008B3666"/>
    <w:rsid w:val="008B3BFB"/>
    <w:rsid w:val="008B49F4"/>
    <w:rsid w:val="008B6A92"/>
    <w:rsid w:val="008C06AD"/>
    <w:rsid w:val="008C0D2C"/>
    <w:rsid w:val="008C2CB5"/>
    <w:rsid w:val="008C3473"/>
    <w:rsid w:val="008C47E0"/>
    <w:rsid w:val="008C54B9"/>
    <w:rsid w:val="008C6B01"/>
    <w:rsid w:val="008C6C86"/>
    <w:rsid w:val="008C6CA9"/>
    <w:rsid w:val="008C6D02"/>
    <w:rsid w:val="008D0D9F"/>
    <w:rsid w:val="008D17B3"/>
    <w:rsid w:val="008D2677"/>
    <w:rsid w:val="008D2723"/>
    <w:rsid w:val="008D2E7F"/>
    <w:rsid w:val="008D3CFE"/>
    <w:rsid w:val="008D4866"/>
    <w:rsid w:val="008D6A4F"/>
    <w:rsid w:val="008D6BBF"/>
    <w:rsid w:val="008E1E8A"/>
    <w:rsid w:val="008E2B56"/>
    <w:rsid w:val="008E3174"/>
    <w:rsid w:val="008E5811"/>
    <w:rsid w:val="008E6888"/>
    <w:rsid w:val="008E6A3A"/>
    <w:rsid w:val="008E7374"/>
    <w:rsid w:val="008E7947"/>
    <w:rsid w:val="008E7F7A"/>
    <w:rsid w:val="008F0A68"/>
    <w:rsid w:val="008F0F33"/>
    <w:rsid w:val="008F0F6B"/>
    <w:rsid w:val="008F1757"/>
    <w:rsid w:val="008F2ED2"/>
    <w:rsid w:val="008F42E4"/>
    <w:rsid w:val="008F4717"/>
    <w:rsid w:val="008F4718"/>
    <w:rsid w:val="008F49E5"/>
    <w:rsid w:val="008F6550"/>
    <w:rsid w:val="008F786C"/>
    <w:rsid w:val="00901DA7"/>
    <w:rsid w:val="00902B9B"/>
    <w:rsid w:val="0090365C"/>
    <w:rsid w:val="0090401A"/>
    <w:rsid w:val="00904453"/>
    <w:rsid w:val="00904AE6"/>
    <w:rsid w:val="00905B39"/>
    <w:rsid w:val="009061AC"/>
    <w:rsid w:val="0090644F"/>
    <w:rsid w:val="00906F15"/>
    <w:rsid w:val="00907680"/>
    <w:rsid w:val="00907C62"/>
    <w:rsid w:val="00910480"/>
    <w:rsid w:val="00913B14"/>
    <w:rsid w:val="009157CD"/>
    <w:rsid w:val="00915A3A"/>
    <w:rsid w:val="00916449"/>
    <w:rsid w:val="009171FD"/>
    <w:rsid w:val="0091764E"/>
    <w:rsid w:val="009176DD"/>
    <w:rsid w:val="009219BC"/>
    <w:rsid w:val="00923215"/>
    <w:rsid w:val="009235BA"/>
    <w:rsid w:val="00924236"/>
    <w:rsid w:val="009244EE"/>
    <w:rsid w:val="00924AEA"/>
    <w:rsid w:val="00926D4C"/>
    <w:rsid w:val="00927658"/>
    <w:rsid w:val="0093062F"/>
    <w:rsid w:val="00930E3F"/>
    <w:rsid w:val="00931C2E"/>
    <w:rsid w:val="009326CB"/>
    <w:rsid w:val="0093288F"/>
    <w:rsid w:val="00933EE0"/>
    <w:rsid w:val="0093670D"/>
    <w:rsid w:val="009408D9"/>
    <w:rsid w:val="009419F1"/>
    <w:rsid w:val="00942D1F"/>
    <w:rsid w:val="0094361D"/>
    <w:rsid w:val="0094678A"/>
    <w:rsid w:val="00946FFC"/>
    <w:rsid w:val="0094720E"/>
    <w:rsid w:val="00951A23"/>
    <w:rsid w:val="00953940"/>
    <w:rsid w:val="00956150"/>
    <w:rsid w:val="00956EC6"/>
    <w:rsid w:val="00962E7D"/>
    <w:rsid w:val="00962F0A"/>
    <w:rsid w:val="009635E8"/>
    <w:rsid w:val="00963CF0"/>
    <w:rsid w:val="00964F3C"/>
    <w:rsid w:val="009677D4"/>
    <w:rsid w:val="00967B74"/>
    <w:rsid w:val="009712A7"/>
    <w:rsid w:val="00976F46"/>
    <w:rsid w:val="00977CC6"/>
    <w:rsid w:val="00977E38"/>
    <w:rsid w:val="00977F8B"/>
    <w:rsid w:val="009801B1"/>
    <w:rsid w:val="0098128A"/>
    <w:rsid w:val="0098203C"/>
    <w:rsid w:val="00982157"/>
    <w:rsid w:val="0098333E"/>
    <w:rsid w:val="00983A60"/>
    <w:rsid w:val="009869C3"/>
    <w:rsid w:val="00987830"/>
    <w:rsid w:val="0098792E"/>
    <w:rsid w:val="00987EC1"/>
    <w:rsid w:val="00990827"/>
    <w:rsid w:val="0099309E"/>
    <w:rsid w:val="00993ACD"/>
    <w:rsid w:val="009941F1"/>
    <w:rsid w:val="00994594"/>
    <w:rsid w:val="0099459E"/>
    <w:rsid w:val="009A2917"/>
    <w:rsid w:val="009A296C"/>
    <w:rsid w:val="009A359E"/>
    <w:rsid w:val="009A4E67"/>
    <w:rsid w:val="009B056B"/>
    <w:rsid w:val="009B12D0"/>
    <w:rsid w:val="009B135B"/>
    <w:rsid w:val="009B4460"/>
    <w:rsid w:val="009C1F4C"/>
    <w:rsid w:val="009C31ED"/>
    <w:rsid w:val="009C31F6"/>
    <w:rsid w:val="009C4C56"/>
    <w:rsid w:val="009C65EC"/>
    <w:rsid w:val="009C6CC2"/>
    <w:rsid w:val="009C6F2C"/>
    <w:rsid w:val="009C7D9B"/>
    <w:rsid w:val="009D0B48"/>
    <w:rsid w:val="009D1468"/>
    <w:rsid w:val="009D1558"/>
    <w:rsid w:val="009D1DE0"/>
    <w:rsid w:val="009D1EE2"/>
    <w:rsid w:val="009D27DB"/>
    <w:rsid w:val="009D2F19"/>
    <w:rsid w:val="009D307A"/>
    <w:rsid w:val="009D485B"/>
    <w:rsid w:val="009D498E"/>
    <w:rsid w:val="009D627C"/>
    <w:rsid w:val="009E18D9"/>
    <w:rsid w:val="009E1DC7"/>
    <w:rsid w:val="009E363C"/>
    <w:rsid w:val="009E49CA"/>
    <w:rsid w:val="009E4FCA"/>
    <w:rsid w:val="009E7159"/>
    <w:rsid w:val="009E72B0"/>
    <w:rsid w:val="009F2386"/>
    <w:rsid w:val="009F2564"/>
    <w:rsid w:val="009F27B7"/>
    <w:rsid w:val="009F3005"/>
    <w:rsid w:val="009F62D6"/>
    <w:rsid w:val="009F73DD"/>
    <w:rsid w:val="00A03853"/>
    <w:rsid w:val="00A03F60"/>
    <w:rsid w:val="00A04BF0"/>
    <w:rsid w:val="00A059B0"/>
    <w:rsid w:val="00A0652D"/>
    <w:rsid w:val="00A124AC"/>
    <w:rsid w:val="00A1281F"/>
    <w:rsid w:val="00A13EF7"/>
    <w:rsid w:val="00A14C2D"/>
    <w:rsid w:val="00A14EE3"/>
    <w:rsid w:val="00A15D72"/>
    <w:rsid w:val="00A16141"/>
    <w:rsid w:val="00A16EBB"/>
    <w:rsid w:val="00A17078"/>
    <w:rsid w:val="00A17165"/>
    <w:rsid w:val="00A21E60"/>
    <w:rsid w:val="00A22267"/>
    <w:rsid w:val="00A233C9"/>
    <w:rsid w:val="00A2509B"/>
    <w:rsid w:val="00A25548"/>
    <w:rsid w:val="00A2708B"/>
    <w:rsid w:val="00A34356"/>
    <w:rsid w:val="00A37225"/>
    <w:rsid w:val="00A4246C"/>
    <w:rsid w:val="00A44D5B"/>
    <w:rsid w:val="00A46B4B"/>
    <w:rsid w:val="00A5150A"/>
    <w:rsid w:val="00A548EC"/>
    <w:rsid w:val="00A54C33"/>
    <w:rsid w:val="00A5547F"/>
    <w:rsid w:val="00A5703B"/>
    <w:rsid w:val="00A57A69"/>
    <w:rsid w:val="00A611EC"/>
    <w:rsid w:val="00A61470"/>
    <w:rsid w:val="00A643B3"/>
    <w:rsid w:val="00A646E8"/>
    <w:rsid w:val="00A66959"/>
    <w:rsid w:val="00A70D7D"/>
    <w:rsid w:val="00A72915"/>
    <w:rsid w:val="00A74180"/>
    <w:rsid w:val="00A77831"/>
    <w:rsid w:val="00A81A27"/>
    <w:rsid w:val="00A835CA"/>
    <w:rsid w:val="00A83F5E"/>
    <w:rsid w:val="00A865E8"/>
    <w:rsid w:val="00A8705B"/>
    <w:rsid w:val="00A916DF"/>
    <w:rsid w:val="00A91D58"/>
    <w:rsid w:val="00A922DC"/>
    <w:rsid w:val="00A9614C"/>
    <w:rsid w:val="00A9732A"/>
    <w:rsid w:val="00AA1256"/>
    <w:rsid w:val="00AA2207"/>
    <w:rsid w:val="00AA5461"/>
    <w:rsid w:val="00AA6F34"/>
    <w:rsid w:val="00AA7170"/>
    <w:rsid w:val="00AB08B7"/>
    <w:rsid w:val="00AB2BB5"/>
    <w:rsid w:val="00AB3060"/>
    <w:rsid w:val="00AB30BA"/>
    <w:rsid w:val="00AB47BC"/>
    <w:rsid w:val="00AB4A4C"/>
    <w:rsid w:val="00AB66F9"/>
    <w:rsid w:val="00AB77D6"/>
    <w:rsid w:val="00AC16C2"/>
    <w:rsid w:val="00AC193B"/>
    <w:rsid w:val="00AC4202"/>
    <w:rsid w:val="00AC4DE3"/>
    <w:rsid w:val="00AC555E"/>
    <w:rsid w:val="00AC5849"/>
    <w:rsid w:val="00AC6D1A"/>
    <w:rsid w:val="00AD0744"/>
    <w:rsid w:val="00AD113C"/>
    <w:rsid w:val="00AD11CE"/>
    <w:rsid w:val="00AD356B"/>
    <w:rsid w:val="00AD3682"/>
    <w:rsid w:val="00AD3D74"/>
    <w:rsid w:val="00AD59A4"/>
    <w:rsid w:val="00AD5AA1"/>
    <w:rsid w:val="00AD787E"/>
    <w:rsid w:val="00AD7B71"/>
    <w:rsid w:val="00AE156E"/>
    <w:rsid w:val="00AE220E"/>
    <w:rsid w:val="00AE2813"/>
    <w:rsid w:val="00AE376D"/>
    <w:rsid w:val="00AE3D6B"/>
    <w:rsid w:val="00AE59DC"/>
    <w:rsid w:val="00AE5EB1"/>
    <w:rsid w:val="00AE7EF0"/>
    <w:rsid w:val="00AF0A44"/>
    <w:rsid w:val="00AF1217"/>
    <w:rsid w:val="00AF194B"/>
    <w:rsid w:val="00AF205C"/>
    <w:rsid w:val="00AF20A1"/>
    <w:rsid w:val="00AF2513"/>
    <w:rsid w:val="00AF44AA"/>
    <w:rsid w:val="00AF7755"/>
    <w:rsid w:val="00B00611"/>
    <w:rsid w:val="00B027E7"/>
    <w:rsid w:val="00B02E65"/>
    <w:rsid w:val="00B03151"/>
    <w:rsid w:val="00B03336"/>
    <w:rsid w:val="00B057E7"/>
    <w:rsid w:val="00B075CB"/>
    <w:rsid w:val="00B10922"/>
    <w:rsid w:val="00B1256A"/>
    <w:rsid w:val="00B1294B"/>
    <w:rsid w:val="00B12DA8"/>
    <w:rsid w:val="00B13962"/>
    <w:rsid w:val="00B16D87"/>
    <w:rsid w:val="00B17718"/>
    <w:rsid w:val="00B2114A"/>
    <w:rsid w:val="00B21852"/>
    <w:rsid w:val="00B2389E"/>
    <w:rsid w:val="00B2532A"/>
    <w:rsid w:val="00B2671C"/>
    <w:rsid w:val="00B26CC8"/>
    <w:rsid w:val="00B278F5"/>
    <w:rsid w:val="00B31EC3"/>
    <w:rsid w:val="00B34B02"/>
    <w:rsid w:val="00B401E9"/>
    <w:rsid w:val="00B41D6B"/>
    <w:rsid w:val="00B41D74"/>
    <w:rsid w:val="00B4294D"/>
    <w:rsid w:val="00B43956"/>
    <w:rsid w:val="00B463FC"/>
    <w:rsid w:val="00B5045B"/>
    <w:rsid w:val="00B51520"/>
    <w:rsid w:val="00B532A3"/>
    <w:rsid w:val="00B55484"/>
    <w:rsid w:val="00B554AC"/>
    <w:rsid w:val="00B55A20"/>
    <w:rsid w:val="00B602C4"/>
    <w:rsid w:val="00B61CE2"/>
    <w:rsid w:val="00B638BB"/>
    <w:rsid w:val="00B63F76"/>
    <w:rsid w:val="00B648EA"/>
    <w:rsid w:val="00B67A91"/>
    <w:rsid w:val="00B7086E"/>
    <w:rsid w:val="00B724ED"/>
    <w:rsid w:val="00B742A0"/>
    <w:rsid w:val="00B7742A"/>
    <w:rsid w:val="00B81618"/>
    <w:rsid w:val="00B81ACB"/>
    <w:rsid w:val="00B86F2E"/>
    <w:rsid w:val="00B91175"/>
    <w:rsid w:val="00B9254A"/>
    <w:rsid w:val="00B936C6"/>
    <w:rsid w:val="00B93914"/>
    <w:rsid w:val="00B94ACA"/>
    <w:rsid w:val="00B96B57"/>
    <w:rsid w:val="00B97056"/>
    <w:rsid w:val="00BA1757"/>
    <w:rsid w:val="00BA20C0"/>
    <w:rsid w:val="00BA2A0A"/>
    <w:rsid w:val="00BA317C"/>
    <w:rsid w:val="00BA7035"/>
    <w:rsid w:val="00BB258E"/>
    <w:rsid w:val="00BB3B86"/>
    <w:rsid w:val="00BB4DE4"/>
    <w:rsid w:val="00BB514E"/>
    <w:rsid w:val="00BB555D"/>
    <w:rsid w:val="00BB5A9B"/>
    <w:rsid w:val="00BB6537"/>
    <w:rsid w:val="00BC029D"/>
    <w:rsid w:val="00BC132A"/>
    <w:rsid w:val="00BC2563"/>
    <w:rsid w:val="00BC3B1A"/>
    <w:rsid w:val="00BC7212"/>
    <w:rsid w:val="00BC732C"/>
    <w:rsid w:val="00BD2608"/>
    <w:rsid w:val="00BD3789"/>
    <w:rsid w:val="00BD4D17"/>
    <w:rsid w:val="00BD6992"/>
    <w:rsid w:val="00BD6E65"/>
    <w:rsid w:val="00BD7725"/>
    <w:rsid w:val="00BE15B9"/>
    <w:rsid w:val="00BE2184"/>
    <w:rsid w:val="00BE39B9"/>
    <w:rsid w:val="00BE3B2E"/>
    <w:rsid w:val="00BE4913"/>
    <w:rsid w:val="00BE4BA2"/>
    <w:rsid w:val="00BE5008"/>
    <w:rsid w:val="00BE5E31"/>
    <w:rsid w:val="00BE61D9"/>
    <w:rsid w:val="00BE626D"/>
    <w:rsid w:val="00BF02CE"/>
    <w:rsid w:val="00BF02E5"/>
    <w:rsid w:val="00BF08D5"/>
    <w:rsid w:val="00BF74F3"/>
    <w:rsid w:val="00BF7DBF"/>
    <w:rsid w:val="00C01BBD"/>
    <w:rsid w:val="00C01F81"/>
    <w:rsid w:val="00C033DD"/>
    <w:rsid w:val="00C04B34"/>
    <w:rsid w:val="00C05E0B"/>
    <w:rsid w:val="00C065A1"/>
    <w:rsid w:val="00C06BEE"/>
    <w:rsid w:val="00C10545"/>
    <w:rsid w:val="00C10801"/>
    <w:rsid w:val="00C1117D"/>
    <w:rsid w:val="00C118CE"/>
    <w:rsid w:val="00C119E1"/>
    <w:rsid w:val="00C12FEC"/>
    <w:rsid w:val="00C14547"/>
    <w:rsid w:val="00C21C3F"/>
    <w:rsid w:val="00C221E2"/>
    <w:rsid w:val="00C222FF"/>
    <w:rsid w:val="00C2260E"/>
    <w:rsid w:val="00C23286"/>
    <w:rsid w:val="00C23F3E"/>
    <w:rsid w:val="00C25BED"/>
    <w:rsid w:val="00C260F4"/>
    <w:rsid w:val="00C27DD9"/>
    <w:rsid w:val="00C33540"/>
    <w:rsid w:val="00C33B21"/>
    <w:rsid w:val="00C34410"/>
    <w:rsid w:val="00C345B6"/>
    <w:rsid w:val="00C352F4"/>
    <w:rsid w:val="00C35919"/>
    <w:rsid w:val="00C37E47"/>
    <w:rsid w:val="00C407F2"/>
    <w:rsid w:val="00C409CA"/>
    <w:rsid w:val="00C4157E"/>
    <w:rsid w:val="00C41853"/>
    <w:rsid w:val="00C423ED"/>
    <w:rsid w:val="00C425C6"/>
    <w:rsid w:val="00C42E96"/>
    <w:rsid w:val="00C43E03"/>
    <w:rsid w:val="00C46206"/>
    <w:rsid w:val="00C47563"/>
    <w:rsid w:val="00C47EC8"/>
    <w:rsid w:val="00C47FBA"/>
    <w:rsid w:val="00C51E69"/>
    <w:rsid w:val="00C5213E"/>
    <w:rsid w:val="00C52800"/>
    <w:rsid w:val="00C52C21"/>
    <w:rsid w:val="00C54747"/>
    <w:rsid w:val="00C5522C"/>
    <w:rsid w:val="00C560AE"/>
    <w:rsid w:val="00C60BDF"/>
    <w:rsid w:val="00C61E54"/>
    <w:rsid w:val="00C6266A"/>
    <w:rsid w:val="00C62C2C"/>
    <w:rsid w:val="00C62DAC"/>
    <w:rsid w:val="00C63A3D"/>
    <w:rsid w:val="00C64F34"/>
    <w:rsid w:val="00C66876"/>
    <w:rsid w:val="00C66BD9"/>
    <w:rsid w:val="00C70716"/>
    <w:rsid w:val="00C715D2"/>
    <w:rsid w:val="00C71990"/>
    <w:rsid w:val="00C71A55"/>
    <w:rsid w:val="00C721D3"/>
    <w:rsid w:val="00C7386F"/>
    <w:rsid w:val="00C80223"/>
    <w:rsid w:val="00C80348"/>
    <w:rsid w:val="00C8182B"/>
    <w:rsid w:val="00C83A9D"/>
    <w:rsid w:val="00C83B5F"/>
    <w:rsid w:val="00C83B98"/>
    <w:rsid w:val="00C84491"/>
    <w:rsid w:val="00C85CC0"/>
    <w:rsid w:val="00C867B5"/>
    <w:rsid w:val="00C8747C"/>
    <w:rsid w:val="00C87903"/>
    <w:rsid w:val="00C87F82"/>
    <w:rsid w:val="00C910AB"/>
    <w:rsid w:val="00C91FFC"/>
    <w:rsid w:val="00C92AC5"/>
    <w:rsid w:val="00C92BBF"/>
    <w:rsid w:val="00C93AD1"/>
    <w:rsid w:val="00C93B35"/>
    <w:rsid w:val="00C94601"/>
    <w:rsid w:val="00C95EB2"/>
    <w:rsid w:val="00C9776E"/>
    <w:rsid w:val="00CA03D4"/>
    <w:rsid w:val="00CA1D7B"/>
    <w:rsid w:val="00CA1FD3"/>
    <w:rsid w:val="00CA2E4C"/>
    <w:rsid w:val="00CA38B2"/>
    <w:rsid w:val="00CA4864"/>
    <w:rsid w:val="00CB0CD4"/>
    <w:rsid w:val="00CB4D76"/>
    <w:rsid w:val="00CB5C0D"/>
    <w:rsid w:val="00CB66FC"/>
    <w:rsid w:val="00CB6E63"/>
    <w:rsid w:val="00CB744E"/>
    <w:rsid w:val="00CC1C9E"/>
    <w:rsid w:val="00CC1D25"/>
    <w:rsid w:val="00CC1D8C"/>
    <w:rsid w:val="00CC20D6"/>
    <w:rsid w:val="00CC288C"/>
    <w:rsid w:val="00CC3024"/>
    <w:rsid w:val="00CC3CC0"/>
    <w:rsid w:val="00CC7F70"/>
    <w:rsid w:val="00CD2E61"/>
    <w:rsid w:val="00CD4E38"/>
    <w:rsid w:val="00CD781F"/>
    <w:rsid w:val="00CD7A86"/>
    <w:rsid w:val="00CE2200"/>
    <w:rsid w:val="00CE23D0"/>
    <w:rsid w:val="00CE3641"/>
    <w:rsid w:val="00CE3C62"/>
    <w:rsid w:val="00CE5968"/>
    <w:rsid w:val="00CE64DC"/>
    <w:rsid w:val="00CF0C00"/>
    <w:rsid w:val="00CF1280"/>
    <w:rsid w:val="00CF1CB8"/>
    <w:rsid w:val="00CF24A6"/>
    <w:rsid w:val="00CF45CC"/>
    <w:rsid w:val="00CF7732"/>
    <w:rsid w:val="00D03441"/>
    <w:rsid w:val="00D06B60"/>
    <w:rsid w:val="00D07691"/>
    <w:rsid w:val="00D078E7"/>
    <w:rsid w:val="00D11ECA"/>
    <w:rsid w:val="00D14EB4"/>
    <w:rsid w:val="00D16E25"/>
    <w:rsid w:val="00D202DA"/>
    <w:rsid w:val="00D20B1C"/>
    <w:rsid w:val="00D20D65"/>
    <w:rsid w:val="00D20E97"/>
    <w:rsid w:val="00D21E04"/>
    <w:rsid w:val="00D21F88"/>
    <w:rsid w:val="00D240FF"/>
    <w:rsid w:val="00D244C9"/>
    <w:rsid w:val="00D25E1B"/>
    <w:rsid w:val="00D27156"/>
    <w:rsid w:val="00D2783B"/>
    <w:rsid w:val="00D30535"/>
    <w:rsid w:val="00D30856"/>
    <w:rsid w:val="00D3226F"/>
    <w:rsid w:val="00D3308E"/>
    <w:rsid w:val="00D330F1"/>
    <w:rsid w:val="00D3582D"/>
    <w:rsid w:val="00D407F1"/>
    <w:rsid w:val="00D40E39"/>
    <w:rsid w:val="00D427F7"/>
    <w:rsid w:val="00D4297F"/>
    <w:rsid w:val="00D42BC5"/>
    <w:rsid w:val="00D43870"/>
    <w:rsid w:val="00D457E2"/>
    <w:rsid w:val="00D467CA"/>
    <w:rsid w:val="00D46CC4"/>
    <w:rsid w:val="00D47292"/>
    <w:rsid w:val="00D47753"/>
    <w:rsid w:val="00D47A06"/>
    <w:rsid w:val="00D505FE"/>
    <w:rsid w:val="00D50690"/>
    <w:rsid w:val="00D51135"/>
    <w:rsid w:val="00D5168A"/>
    <w:rsid w:val="00D531D2"/>
    <w:rsid w:val="00D543AD"/>
    <w:rsid w:val="00D54485"/>
    <w:rsid w:val="00D56796"/>
    <w:rsid w:val="00D612E6"/>
    <w:rsid w:val="00D63E1C"/>
    <w:rsid w:val="00D65E1A"/>
    <w:rsid w:val="00D66C45"/>
    <w:rsid w:val="00D73487"/>
    <w:rsid w:val="00D74A9C"/>
    <w:rsid w:val="00D74C4C"/>
    <w:rsid w:val="00D765F3"/>
    <w:rsid w:val="00D771DF"/>
    <w:rsid w:val="00D77950"/>
    <w:rsid w:val="00D802B5"/>
    <w:rsid w:val="00D81B90"/>
    <w:rsid w:val="00D81CDB"/>
    <w:rsid w:val="00D828AC"/>
    <w:rsid w:val="00D8444A"/>
    <w:rsid w:val="00D8653A"/>
    <w:rsid w:val="00D87BDA"/>
    <w:rsid w:val="00D9007C"/>
    <w:rsid w:val="00D9059C"/>
    <w:rsid w:val="00D909FD"/>
    <w:rsid w:val="00D9110D"/>
    <w:rsid w:val="00D92E3D"/>
    <w:rsid w:val="00D944EA"/>
    <w:rsid w:val="00DA11F7"/>
    <w:rsid w:val="00DA2F7E"/>
    <w:rsid w:val="00DA3187"/>
    <w:rsid w:val="00DA47C3"/>
    <w:rsid w:val="00DA6F23"/>
    <w:rsid w:val="00DB2899"/>
    <w:rsid w:val="00DB347E"/>
    <w:rsid w:val="00DB7D2D"/>
    <w:rsid w:val="00DC02F2"/>
    <w:rsid w:val="00DC07A2"/>
    <w:rsid w:val="00DC0C42"/>
    <w:rsid w:val="00DC1CF6"/>
    <w:rsid w:val="00DC1F46"/>
    <w:rsid w:val="00DC7A60"/>
    <w:rsid w:val="00DD4C57"/>
    <w:rsid w:val="00DD5768"/>
    <w:rsid w:val="00DD668B"/>
    <w:rsid w:val="00DD6C51"/>
    <w:rsid w:val="00DD73FE"/>
    <w:rsid w:val="00DE04C1"/>
    <w:rsid w:val="00DE09DE"/>
    <w:rsid w:val="00DE1B21"/>
    <w:rsid w:val="00DE3755"/>
    <w:rsid w:val="00DE3FA6"/>
    <w:rsid w:val="00DE537E"/>
    <w:rsid w:val="00DF0D7A"/>
    <w:rsid w:val="00DF194E"/>
    <w:rsid w:val="00DF1EB1"/>
    <w:rsid w:val="00DF25C1"/>
    <w:rsid w:val="00DF5FB7"/>
    <w:rsid w:val="00DF6B69"/>
    <w:rsid w:val="00DF71DC"/>
    <w:rsid w:val="00DF74E4"/>
    <w:rsid w:val="00DF79E0"/>
    <w:rsid w:val="00E01D0C"/>
    <w:rsid w:val="00E038DA"/>
    <w:rsid w:val="00E07126"/>
    <w:rsid w:val="00E079EC"/>
    <w:rsid w:val="00E106C0"/>
    <w:rsid w:val="00E11697"/>
    <w:rsid w:val="00E117A0"/>
    <w:rsid w:val="00E11AF3"/>
    <w:rsid w:val="00E12A11"/>
    <w:rsid w:val="00E1438E"/>
    <w:rsid w:val="00E14A70"/>
    <w:rsid w:val="00E15A55"/>
    <w:rsid w:val="00E161BE"/>
    <w:rsid w:val="00E168F7"/>
    <w:rsid w:val="00E16C05"/>
    <w:rsid w:val="00E16D55"/>
    <w:rsid w:val="00E179D5"/>
    <w:rsid w:val="00E17FB4"/>
    <w:rsid w:val="00E224E9"/>
    <w:rsid w:val="00E24EEA"/>
    <w:rsid w:val="00E313B2"/>
    <w:rsid w:val="00E31E4C"/>
    <w:rsid w:val="00E32C33"/>
    <w:rsid w:val="00E35944"/>
    <w:rsid w:val="00E36C80"/>
    <w:rsid w:val="00E36C86"/>
    <w:rsid w:val="00E3781C"/>
    <w:rsid w:val="00E4053D"/>
    <w:rsid w:val="00E40AD7"/>
    <w:rsid w:val="00E414EC"/>
    <w:rsid w:val="00E43162"/>
    <w:rsid w:val="00E50F57"/>
    <w:rsid w:val="00E5131B"/>
    <w:rsid w:val="00E52627"/>
    <w:rsid w:val="00E542A5"/>
    <w:rsid w:val="00E54B9E"/>
    <w:rsid w:val="00E54F4C"/>
    <w:rsid w:val="00E56615"/>
    <w:rsid w:val="00E56ABD"/>
    <w:rsid w:val="00E573B6"/>
    <w:rsid w:val="00E6004C"/>
    <w:rsid w:val="00E62DDA"/>
    <w:rsid w:val="00E63041"/>
    <w:rsid w:val="00E64507"/>
    <w:rsid w:val="00E652CB"/>
    <w:rsid w:val="00E6584B"/>
    <w:rsid w:val="00E65C0B"/>
    <w:rsid w:val="00E66144"/>
    <w:rsid w:val="00E7008A"/>
    <w:rsid w:val="00E71694"/>
    <w:rsid w:val="00E71F00"/>
    <w:rsid w:val="00E720A4"/>
    <w:rsid w:val="00E721D6"/>
    <w:rsid w:val="00E72970"/>
    <w:rsid w:val="00E72BCD"/>
    <w:rsid w:val="00E7408B"/>
    <w:rsid w:val="00E75015"/>
    <w:rsid w:val="00E77D00"/>
    <w:rsid w:val="00E801DD"/>
    <w:rsid w:val="00E80E12"/>
    <w:rsid w:val="00E8260C"/>
    <w:rsid w:val="00E82C64"/>
    <w:rsid w:val="00E83BE4"/>
    <w:rsid w:val="00E840FB"/>
    <w:rsid w:val="00E8446F"/>
    <w:rsid w:val="00E87B0C"/>
    <w:rsid w:val="00E94764"/>
    <w:rsid w:val="00E94B6C"/>
    <w:rsid w:val="00E950F8"/>
    <w:rsid w:val="00E952D7"/>
    <w:rsid w:val="00E962F4"/>
    <w:rsid w:val="00EA16E1"/>
    <w:rsid w:val="00EA2716"/>
    <w:rsid w:val="00EA28FD"/>
    <w:rsid w:val="00EB0F6A"/>
    <w:rsid w:val="00EB15CD"/>
    <w:rsid w:val="00EB19C1"/>
    <w:rsid w:val="00EB347E"/>
    <w:rsid w:val="00EB36DA"/>
    <w:rsid w:val="00EB3AF3"/>
    <w:rsid w:val="00EB50FC"/>
    <w:rsid w:val="00EB5E60"/>
    <w:rsid w:val="00EB6251"/>
    <w:rsid w:val="00EB6901"/>
    <w:rsid w:val="00EB77E0"/>
    <w:rsid w:val="00EC00E6"/>
    <w:rsid w:val="00EC07FE"/>
    <w:rsid w:val="00EC37B1"/>
    <w:rsid w:val="00EC44D0"/>
    <w:rsid w:val="00EC5EED"/>
    <w:rsid w:val="00EC697E"/>
    <w:rsid w:val="00EC6C6E"/>
    <w:rsid w:val="00EC7182"/>
    <w:rsid w:val="00EC7450"/>
    <w:rsid w:val="00ED032F"/>
    <w:rsid w:val="00ED1DD3"/>
    <w:rsid w:val="00ED3663"/>
    <w:rsid w:val="00ED5664"/>
    <w:rsid w:val="00ED622F"/>
    <w:rsid w:val="00ED72FD"/>
    <w:rsid w:val="00EE16AB"/>
    <w:rsid w:val="00EE1C34"/>
    <w:rsid w:val="00EE33CE"/>
    <w:rsid w:val="00EE3A39"/>
    <w:rsid w:val="00EE5826"/>
    <w:rsid w:val="00EE5E76"/>
    <w:rsid w:val="00EF1459"/>
    <w:rsid w:val="00EF16D8"/>
    <w:rsid w:val="00EF2EF0"/>
    <w:rsid w:val="00EF359D"/>
    <w:rsid w:val="00EF5347"/>
    <w:rsid w:val="00EF5ABD"/>
    <w:rsid w:val="00EF66F8"/>
    <w:rsid w:val="00F019E0"/>
    <w:rsid w:val="00F059CB"/>
    <w:rsid w:val="00F07CA8"/>
    <w:rsid w:val="00F100FE"/>
    <w:rsid w:val="00F109BA"/>
    <w:rsid w:val="00F14876"/>
    <w:rsid w:val="00F16D78"/>
    <w:rsid w:val="00F17BD9"/>
    <w:rsid w:val="00F226EA"/>
    <w:rsid w:val="00F23B35"/>
    <w:rsid w:val="00F2449E"/>
    <w:rsid w:val="00F25092"/>
    <w:rsid w:val="00F25BCE"/>
    <w:rsid w:val="00F27EB9"/>
    <w:rsid w:val="00F33522"/>
    <w:rsid w:val="00F34D66"/>
    <w:rsid w:val="00F3664E"/>
    <w:rsid w:val="00F368E7"/>
    <w:rsid w:val="00F36D69"/>
    <w:rsid w:val="00F37938"/>
    <w:rsid w:val="00F3F701"/>
    <w:rsid w:val="00F41B62"/>
    <w:rsid w:val="00F41D2B"/>
    <w:rsid w:val="00F4304F"/>
    <w:rsid w:val="00F43879"/>
    <w:rsid w:val="00F44642"/>
    <w:rsid w:val="00F44F35"/>
    <w:rsid w:val="00F44F56"/>
    <w:rsid w:val="00F451C7"/>
    <w:rsid w:val="00F46470"/>
    <w:rsid w:val="00F500B0"/>
    <w:rsid w:val="00F537C5"/>
    <w:rsid w:val="00F5516B"/>
    <w:rsid w:val="00F600B8"/>
    <w:rsid w:val="00F60E43"/>
    <w:rsid w:val="00F6164F"/>
    <w:rsid w:val="00F623B9"/>
    <w:rsid w:val="00F626DA"/>
    <w:rsid w:val="00F63139"/>
    <w:rsid w:val="00F6471B"/>
    <w:rsid w:val="00F64AE4"/>
    <w:rsid w:val="00F64FF8"/>
    <w:rsid w:val="00F65885"/>
    <w:rsid w:val="00F67CF6"/>
    <w:rsid w:val="00F67D2C"/>
    <w:rsid w:val="00F73EAF"/>
    <w:rsid w:val="00F748DF"/>
    <w:rsid w:val="00F75376"/>
    <w:rsid w:val="00F80729"/>
    <w:rsid w:val="00F8086E"/>
    <w:rsid w:val="00F8298B"/>
    <w:rsid w:val="00F82BFA"/>
    <w:rsid w:val="00F8444F"/>
    <w:rsid w:val="00F84C01"/>
    <w:rsid w:val="00F85C04"/>
    <w:rsid w:val="00F862E0"/>
    <w:rsid w:val="00F9143D"/>
    <w:rsid w:val="00F93211"/>
    <w:rsid w:val="00F9324C"/>
    <w:rsid w:val="00F9389E"/>
    <w:rsid w:val="00F93BB4"/>
    <w:rsid w:val="00F94327"/>
    <w:rsid w:val="00F974A7"/>
    <w:rsid w:val="00FA1112"/>
    <w:rsid w:val="00FA2E19"/>
    <w:rsid w:val="00FA3AC4"/>
    <w:rsid w:val="00FA5662"/>
    <w:rsid w:val="00FA6E34"/>
    <w:rsid w:val="00FA7EED"/>
    <w:rsid w:val="00FB2366"/>
    <w:rsid w:val="00FB2A94"/>
    <w:rsid w:val="00FB376D"/>
    <w:rsid w:val="00FB38F7"/>
    <w:rsid w:val="00FB53C2"/>
    <w:rsid w:val="00FB628F"/>
    <w:rsid w:val="00FC0CE3"/>
    <w:rsid w:val="00FC0CE9"/>
    <w:rsid w:val="00FC0D24"/>
    <w:rsid w:val="00FC18D8"/>
    <w:rsid w:val="00FC5C42"/>
    <w:rsid w:val="00FC666D"/>
    <w:rsid w:val="00FC66FA"/>
    <w:rsid w:val="00FC736B"/>
    <w:rsid w:val="00FC783B"/>
    <w:rsid w:val="00FC7B4F"/>
    <w:rsid w:val="00FD1F7B"/>
    <w:rsid w:val="00FD3FA9"/>
    <w:rsid w:val="00FD44AA"/>
    <w:rsid w:val="00FD4827"/>
    <w:rsid w:val="00FD49D1"/>
    <w:rsid w:val="00FD4A6A"/>
    <w:rsid w:val="00FD5897"/>
    <w:rsid w:val="00FE374D"/>
    <w:rsid w:val="00FE4C1D"/>
    <w:rsid w:val="00FE76CE"/>
    <w:rsid w:val="00FE7E1E"/>
    <w:rsid w:val="00FE7E6E"/>
    <w:rsid w:val="00FF024F"/>
    <w:rsid w:val="00FF2771"/>
    <w:rsid w:val="00FF3F1B"/>
    <w:rsid w:val="00FF4230"/>
    <w:rsid w:val="00FF458A"/>
    <w:rsid w:val="00FF4AD3"/>
    <w:rsid w:val="00FF5E29"/>
    <w:rsid w:val="00FF6211"/>
    <w:rsid w:val="00FF7A4E"/>
    <w:rsid w:val="014C900F"/>
    <w:rsid w:val="01774A07"/>
    <w:rsid w:val="01847589"/>
    <w:rsid w:val="023DF10F"/>
    <w:rsid w:val="0299AA9B"/>
    <w:rsid w:val="029F1398"/>
    <w:rsid w:val="02D71F6D"/>
    <w:rsid w:val="02F1B31F"/>
    <w:rsid w:val="03257565"/>
    <w:rsid w:val="03316BF9"/>
    <w:rsid w:val="035A9471"/>
    <w:rsid w:val="037609E3"/>
    <w:rsid w:val="03B4E69A"/>
    <w:rsid w:val="03EC3B5A"/>
    <w:rsid w:val="03F72717"/>
    <w:rsid w:val="04570D54"/>
    <w:rsid w:val="04B442C8"/>
    <w:rsid w:val="04D23140"/>
    <w:rsid w:val="04E669F9"/>
    <w:rsid w:val="050B0E08"/>
    <w:rsid w:val="054615B4"/>
    <w:rsid w:val="056CAE33"/>
    <w:rsid w:val="0580E0BF"/>
    <w:rsid w:val="059697F9"/>
    <w:rsid w:val="05A35ECF"/>
    <w:rsid w:val="05A95E02"/>
    <w:rsid w:val="0610322D"/>
    <w:rsid w:val="061F3B95"/>
    <w:rsid w:val="0625A5E7"/>
    <w:rsid w:val="062AB662"/>
    <w:rsid w:val="0645DFBC"/>
    <w:rsid w:val="065EA749"/>
    <w:rsid w:val="0671C725"/>
    <w:rsid w:val="0674DCD7"/>
    <w:rsid w:val="0690FB9C"/>
    <w:rsid w:val="06C2C0D2"/>
    <w:rsid w:val="06C42E73"/>
    <w:rsid w:val="06D2D6A0"/>
    <w:rsid w:val="07612DBA"/>
    <w:rsid w:val="078C9BDA"/>
    <w:rsid w:val="078E0403"/>
    <w:rsid w:val="07B0F856"/>
    <w:rsid w:val="080732B9"/>
    <w:rsid w:val="085A2920"/>
    <w:rsid w:val="08FD2FC7"/>
    <w:rsid w:val="09215994"/>
    <w:rsid w:val="09274209"/>
    <w:rsid w:val="0971A40E"/>
    <w:rsid w:val="09D2993A"/>
    <w:rsid w:val="0A600655"/>
    <w:rsid w:val="0A66B678"/>
    <w:rsid w:val="0AC8003A"/>
    <w:rsid w:val="0AD12CF6"/>
    <w:rsid w:val="0AD16DE9"/>
    <w:rsid w:val="0ADFBFC4"/>
    <w:rsid w:val="0B1CCC45"/>
    <w:rsid w:val="0BB39B03"/>
    <w:rsid w:val="0BBD894C"/>
    <w:rsid w:val="0BEC22BA"/>
    <w:rsid w:val="0BF15626"/>
    <w:rsid w:val="0CC2DBDA"/>
    <w:rsid w:val="0CF71417"/>
    <w:rsid w:val="0D0C02F2"/>
    <w:rsid w:val="0D5883BE"/>
    <w:rsid w:val="0DC51075"/>
    <w:rsid w:val="0DCC4703"/>
    <w:rsid w:val="0E20CBE2"/>
    <w:rsid w:val="0E4F3B9B"/>
    <w:rsid w:val="0E826533"/>
    <w:rsid w:val="0E993B70"/>
    <w:rsid w:val="0F012836"/>
    <w:rsid w:val="0F131D85"/>
    <w:rsid w:val="0FDE3C66"/>
    <w:rsid w:val="0FE11455"/>
    <w:rsid w:val="0FFFC979"/>
    <w:rsid w:val="10934A42"/>
    <w:rsid w:val="10AFAED4"/>
    <w:rsid w:val="10B8A573"/>
    <w:rsid w:val="10D5203B"/>
    <w:rsid w:val="10F0C106"/>
    <w:rsid w:val="10F946E5"/>
    <w:rsid w:val="1109F812"/>
    <w:rsid w:val="1118FBF8"/>
    <w:rsid w:val="113FCA2D"/>
    <w:rsid w:val="1173C1A2"/>
    <w:rsid w:val="11EB2FF4"/>
    <w:rsid w:val="11FDEB7A"/>
    <w:rsid w:val="12181574"/>
    <w:rsid w:val="12ADBA63"/>
    <w:rsid w:val="12F12A05"/>
    <w:rsid w:val="132B32A5"/>
    <w:rsid w:val="1375BD22"/>
    <w:rsid w:val="13A81350"/>
    <w:rsid w:val="13EF4CA5"/>
    <w:rsid w:val="1423BE43"/>
    <w:rsid w:val="14C7B247"/>
    <w:rsid w:val="15048132"/>
    <w:rsid w:val="15269C3B"/>
    <w:rsid w:val="15710A89"/>
    <w:rsid w:val="15FE634E"/>
    <w:rsid w:val="160FD4F7"/>
    <w:rsid w:val="166AA92E"/>
    <w:rsid w:val="16BE5134"/>
    <w:rsid w:val="16C21047"/>
    <w:rsid w:val="16F5B7D2"/>
    <w:rsid w:val="171629D7"/>
    <w:rsid w:val="1731A066"/>
    <w:rsid w:val="17878C50"/>
    <w:rsid w:val="17887FDE"/>
    <w:rsid w:val="179C058C"/>
    <w:rsid w:val="17A38895"/>
    <w:rsid w:val="1818FA96"/>
    <w:rsid w:val="1847593D"/>
    <w:rsid w:val="1853F0B9"/>
    <w:rsid w:val="18834F22"/>
    <w:rsid w:val="18C11271"/>
    <w:rsid w:val="18CC8D5E"/>
    <w:rsid w:val="18E92FF5"/>
    <w:rsid w:val="18F4DFE8"/>
    <w:rsid w:val="19106E6F"/>
    <w:rsid w:val="195C7DC5"/>
    <w:rsid w:val="199E9390"/>
    <w:rsid w:val="19A3D0FC"/>
    <w:rsid w:val="19A65A59"/>
    <w:rsid w:val="19A6ED8D"/>
    <w:rsid w:val="19F041AB"/>
    <w:rsid w:val="1AB1393C"/>
    <w:rsid w:val="1AD0DEF8"/>
    <w:rsid w:val="1B05EAE2"/>
    <w:rsid w:val="1B1F7455"/>
    <w:rsid w:val="1B1FDCC9"/>
    <w:rsid w:val="1B3DC61F"/>
    <w:rsid w:val="1B6FA812"/>
    <w:rsid w:val="1B740D36"/>
    <w:rsid w:val="1BA7DBA7"/>
    <w:rsid w:val="1BE2FB83"/>
    <w:rsid w:val="1C40A851"/>
    <w:rsid w:val="1C4E4E22"/>
    <w:rsid w:val="1C961084"/>
    <w:rsid w:val="1CD2DF2A"/>
    <w:rsid w:val="1CDC47ED"/>
    <w:rsid w:val="1D48005A"/>
    <w:rsid w:val="1DA51D27"/>
    <w:rsid w:val="1DC73203"/>
    <w:rsid w:val="1E711EE7"/>
    <w:rsid w:val="1EB9C10B"/>
    <w:rsid w:val="1EBA9B00"/>
    <w:rsid w:val="1EC49390"/>
    <w:rsid w:val="1EF38CB1"/>
    <w:rsid w:val="1EF755AA"/>
    <w:rsid w:val="1F252843"/>
    <w:rsid w:val="1F95109E"/>
    <w:rsid w:val="1FE0B533"/>
    <w:rsid w:val="2022436E"/>
    <w:rsid w:val="2027AF32"/>
    <w:rsid w:val="20822B19"/>
    <w:rsid w:val="2095A790"/>
    <w:rsid w:val="209C1D9A"/>
    <w:rsid w:val="2158FEBE"/>
    <w:rsid w:val="218064A7"/>
    <w:rsid w:val="219F8A67"/>
    <w:rsid w:val="21DB0B3A"/>
    <w:rsid w:val="2258402D"/>
    <w:rsid w:val="227E83A0"/>
    <w:rsid w:val="228B208C"/>
    <w:rsid w:val="22E6A4DA"/>
    <w:rsid w:val="23B8C3A5"/>
    <w:rsid w:val="248DF1BC"/>
    <w:rsid w:val="249B8183"/>
    <w:rsid w:val="24A55582"/>
    <w:rsid w:val="24B23961"/>
    <w:rsid w:val="24C0D578"/>
    <w:rsid w:val="24D563AA"/>
    <w:rsid w:val="250EE07F"/>
    <w:rsid w:val="252D7ABF"/>
    <w:rsid w:val="253E2044"/>
    <w:rsid w:val="25C08CB6"/>
    <w:rsid w:val="25ED3338"/>
    <w:rsid w:val="25F407F7"/>
    <w:rsid w:val="2638C129"/>
    <w:rsid w:val="263F9B71"/>
    <w:rsid w:val="265E0FD8"/>
    <w:rsid w:val="26B450CA"/>
    <w:rsid w:val="26E50B07"/>
    <w:rsid w:val="276F333F"/>
    <w:rsid w:val="278E510B"/>
    <w:rsid w:val="279E7906"/>
    <w:rsid w:val="27AC04CA"/>
    <w:rsid w:val="281CF83F"/>
    <w:rsid w:val="281F04B4"/>
    <w:rsid w:val="283485C2"/>
    <w:rsid w:val="2844EE90"/>
    <w:rsid w:val="28884EB9"/>
    <w:rsid w:val="288D1F38"/>
    <w:rsid w:val="29827763"/>
    <w:rsid w:val="29828573"/>
    <w:rsid w:val="299F09C0"/>
    <w:rsid w:val="29F5BA7D"/>
    <w:rsid w:val="2A9B1A43"/>
    <w:rsid w:val="2AB2B2E5"/>
    <w:rsid w:val="2AC0B4A8"/>
    <w:rsid w:val="2B02C775"/>
    <w:rsid w:val="2B15C1AA"/>
    <w:rsid w:val="2B18CC81"/>
    <w:rsid w:val="2B50887C"/>
    <w:rsid w:val="2BAD5561"/>
    <w:rsid w:val="2BB0FD8C"/>
    <w:rsid w:val="2C00EEFE"/>
    <w:rsid w:val="2C4A1204"/>
    <w:rsid w:val="2CD999C2"/>
    <w:rsid w:val="2D84C7DA"/>
    <w:rsid w:val="2D9DD359"/>
    <w:rsid w:val="2D9E731C"/>
    <w:rsid w:val="2E2A9611"/>
    <w:rsid w:val="2E3D449D"/>
    <w:rsid w:val="2E98F12E"/>
    <w:rsid w:val="2F6E03F4"/>
    <w:rsid w:val="2F8773F9"/>
    <w:rsid w:val="2F9E946A"/>
    <w:rsid w:val="2FB6379A"/>
    <w:rsid w:val="2FCFF4B6"/>
    <w:rsid w:val="30859A86"/>
    <w:rsid w:val="30C41E4A"/>
    <w:rsid w:val="31009CCC"/>
    <w:rsid w:val="3114E33F"/>
    <w:rsid w:val="31463486"/>
    <w:rsid w:val="31B076EA"/>
    <w:rsid w:val="31F31CED"/>
    <w:rsid w:val="320BEF84"/>
    <w:rsid w:val="32715F1A"/>
    <w:rsid w:val="32B06587"/>
    <w:rsid w:val="32FFD78F"/>
    <w:rsid w:val="3383D0B9"/>
    <w:rsid w:val="3385AB4B"/>
    <w:rsid w:val="33962573"/>
    <w:rsid w:val="33A7F198"/>
    <w:rsid w:val="33C4524A"/>
    <w:rsid w:val="34150055"/>
    <w:rsid w:val="34D625FE"/>
    <w:rsid w:val="3525D422"/>
    <w:rsid w:val="3542E366"/>
    <w:rsid w:val="35D0DED8"/>
    <w:rsid w:val="35E25BFA"/>
    <w:rsid w:val="36D08CEB"/>
    <w:rsid w:val="36FAEC83"/>
    <w:rsid w:val="3707CC39"/>
    <w:rsid w:val="375AC098"/>
    <w:rsid w:val="37775CC0"/>
    <w:rsid w:val="378C90DB"/>
    <w:rsid w:val="37EEECD1"/>
    <w:rsid w:val="38BFB445"/>
    <w:rsid w:val="390A7515"/>
    <w:rsid w:val="3916C92D"/>
    <w:rsid w:val="396889FE"/>
    <w:rsid w:val="39F55455"/>
    <w:rsid w:val="3A6A5431"/>
    <w:rsid w:val="3B2128A2"/>
    <w:rsid w:val="3B634E3C"/>
    <w:rsid w:val="3BB8D493"/>
    <w:rsid w:val="3BBC1F2D"/>
    <w:rsid w:val="3C7698BE"/>
    <w:rsid w:val="3C9DA96E"/>
    <w:rsid w:val="3CCB54D9"/>
    <w:rsid w:val="3CE50140"/>
    <w:rsid w:val="3D4A8C4C"/>
    <w:rsid w:val="3D52277A"/>
    <w:rsid w:val="3DA41160"/>
    <w:rsid w:val="3DF1AD24"/>
    <w:rsid w:val="3E6C03B6"/>
    <w:rsid w:val="3ED862E9"/>
    <w:rsid w:val="3F2B6DD1"/>
    <w:rsid w:val="3F741AAB"/>
    <w:rsid w:val="3F88E274"/>
    <w:rsid w:val="3FAFA186"/>
    <w:rsid w:val="402ECFCD"/>
    <w:rsid w:val="406D9FE4"/>
    <w:rsid w:val="407062A5"/>
    <w:rsid w:val="4073E967"/>
    <w:rsid w:val="40E5E154"/>
    <w:rsid w:val="4125A0BA"/>
    <w:rsid w:val="418048B7"/>
    <w:rsid w:val="4297EF57"/>
    <w:rsid w:val="42AE02C7"/>
    <w:rsid w:val="43268BC9"/>
    <w:rsid w:val="436C152E"/>
    <w:rsid w:val="439B8BFD"/>
    <w:rsid w:val="4410A34E"/>
    <w:rsid w:val="444A464E"/>
    <w:rsid w:val="444AD864"/>
    <w:rsid w:val="445B8B81"/>
    <w:rsid w:val="44BF85F6"/>
    <w:rsid w:val="44CCCCCE"/>
    <w:rsid w:val="44EF485E"/>
    <w:rsid w:val="45361AD9"/>
    <w:rsid w:val="454CC463"/>
    <w:rsid w:val="4598DA70"/>
    <w:rsid w:val="45C68E16"/>
    <w:rsid w:val="45D328BD"/>
    <w:rsid w:val="4636164B"/>
    <w:rsid w:val="4645706E"/>
    <w:rsid w:val="469ABB85"/>
    <w:rsid w:val="469ADEC3"/>
    <w:rsid w:val="469CE815"/>
    <w:rsid w:val="46D1076C"/>
    <w:rsid w:val="46E50985"/>
    <w:rsid w:val="46F6D55B"/>
    <w:rsid w:val="46FD8F1A"/>
    <w:rsid w:val="47032EEF"/>
    <w:rsid w:val="47411E44"/>
    <w:rsid w:val="47761BB2"/>
    <w:rsid w:val="47847067"/>
    <w:rsid w:val="4823727D"/>
    <w:rsid w:val="484A4A77"/>
    <w:rsid w:val="485D007D"/>
    <w:rsid w:val="48800B12"/>
    <w:rsid w:val="488E3E1C"/>
    <w:rsid w:val="49251568"/>
    <w:rsid w:val="496F7826"/>
    <w:rsid w:val="49CB154C"/>
    <w:rsid w:val="49F9F875"/>
    <w:rsid w:val="4A44F406"/>
    <w:rsid w:val="4A708B78"/>
    <w:rsid w:val="4A92B13B"/>
    <w:rsid w:val="4AA47F92"/>
    <w:rsid w:val="4AE32281"/>
    <w:rsid w:val="4B37BBA6"/>
    <w:rsid w:val="4B762751"/>
    <w:rsid w:val="4BA5B28E"/>
    <w:rsid w:val="4CD02F5A"/>
    <w:rsid w:val="4CD58F1C"/>
    <w:rsid w:val="4D0D2B85"/>
    <w:rsid w:val="4D829B61"/>
    <w:rsid w:val="4DAEC3B3"/>
    <w:rsid w:val="4DB36FE7"/>
    <w:rsid w:val="4E1FDC27"/>
    <w:rsid w:val="4E6CB15A"/>
    <w:rsid w:val="4E7F8536"/>
    <w:rsid w:val="4E8588C1"/>
    <w:rsid w:val="4EA52D5F"/>
    <w:rsid w:val="4F620BD3"/>
    <w:rsid w:val="4FA6F391"/>
    <w:rsid w:val="4FDCD170"/>
    <w:rsid w:val="4FDF3CE6"/>
    <w:rsid w:val="50C4CDC2"/>
    <w:rsid w:val="515A7259"/>
    <w:rsid w:val="516CFFF4"/>
    <w:rsid w:val="5183A311"/>
    <w:rsid w:val="51B4EFDD"/>
    <w:rsid w:val="52079835"/>
    <w:rsid w:val="524FC3E7"/>
    <w:rsid w:val="528D9F73"/>
    <w:rsid w:val="52BDF585"/>
    <w:rsid w:val="52CC8686"/>
    <w:rsid w:val="52FCABE4"/>
    <w:rsid w:val="536760A8"/>
    <w:rsid w:val="537850CB"/>
    <w:rsid w:val="53DB9AAF"/>
    <w:rsid w:val="5441EFE3"/>
    <w:rsid w:val="54542DEF"/>
    <w:rsid w:val="5472CE9F"/>
    <w:rsid w:val="548E519F"/>
    <w:rsid w:val="549E25A2"/>
    <w:rsid w:val="549F3BAC"/>
    <w:rsid w:val="54B41698"/>
    <w:rsid w:val="54D8A8D7"/>
    <w:rsid w:val="54F613F0"/>
    <w:rsid w:val="551F35CD"/>
    <w:rsid w:val="5544811E"/>
    <w:rsid w:val="5554EFB3"/>
    <w:rsid w:val="55717B01"/>
    <w:rsid w:val="55728E32"/>
    <w:rsid w:val="5574D37A"/>
    <w:rsid w:val="5596ACBA"/>
    <w:rsid w:val="55982316"/>
    <w:rsid w:val="55D73E97"/>
    <w:rsid w:val="55FB6B37"/>
    <w:rsid w:val="56353BBA"/>
    <w:rsid w:val="564EF9CB"/>
    <w:rsid w:val="57170A6F"/>
    <w:rsid w:val="574058BA"/>
    <w:rsid w:val="57A0DB4D"/>
    <w:rsid w:val="57C29461"/>
    <w:rsid w:val="580EF6FE"/>
    <w:rsid w:val="589D6F65"/>
    <w:rsid w:val="58BAAD9A"/>
    <w:rsid w:val="593AB9F1"/>
    <w:rsid w:val="59AE8E12"/>
    <w:rsid w:val="59E80C83"/>
    <w:rsid w:val="5AA324D2"/>
    <w:rsid w:val="5AD388B6"/>
    <w:rsid w:val="5AFD537D"/>
    <w:rsid w:val="5AFFC684"/>
    <w:rsid w:val="5B401A1B"/>
    <w:rsid w:val="5B496114"/>
    <w:rsid w:val="5C1102F9"/>
    <w:rsid w:val="5C3750FF"/>
    <w:rsid w:val="5C633290"/>
    <w:rsid w:val="5C65F857"/>
    <w:rsid w:val="5C7A749D"/>
    <w:rsid w:val="5CA4F266"/>
    <w:rsid w:val="5CBB08D2"/>
    <w:rsid w:val="5CDA842A"/>
    <w:rsid w:val="5CDD7707"/>
    <w:rsid w:val="5D68E758"/>
    <w:rsid w:val="5D6DE517"/>
    <w:rsid w:val="5E21AAF2"/>
    <w:rsid w:val="5E52E7C9"/>
    <w:rsid w:val="5E5B00B1"/>
    <w:rsid w:val="5E91904D"/>
    <w:rsid w:val="5EF88E15"/>
    <w:rsid w:val="5F4BA0A8"/>
    <w:rsid w:val="5F6E3905"/>
    <w:rsid w:val="5FEDA169"/>
    <w:rsid w:val="60973966"/>
    <w:rsid w:val="60D03451"/>
    <w:rsid w:val="61014F6C"/>
    <w:rsid w:val="6111E6B7"/>
    <w:rsid w:val="615191AF"/>
    <w:rsid w:val="6157C207"/>
    <w:rsid w:val="61664406"/>
    <w:rsid w:val="61A3217A"/>
    <w:rsid w:val="61FCE265"/>
    <w:rsid w:val="6208F7FC"/>
    <w:rsid w:val="624C1533"/>
    <w:rsid w:val="629A7A73"/>
    <w:rsid w:val="630AE4B0"/>
    <w:rsid w:val="63163323"/>
    <w:rsid w:val="632AD787"/>
    <w:rsid w:val="635B4596"/>
    <w:rsid w:val="635DEE5F"/>
    <w:rsid w:val="6416C7CA"/>
    <w:rsid w:val="64DF8ED9"/>
    <w:rsid w:val="64E380F2"/>
    <w:rsid w:val="650C3931"/>
    <w:rsid w:val="65590168"/>
    <w:rsid w:val="65798C2B"/>
    <w:rsid w:val="65841215"/>
    <w:rsid w:val="65ACEBC4"/>
    <w:rsid w:val="670FDD91"/>
    <w:rsid w:val="674A8248"/>
    <w:rsid w:val="67709159"/>
    <w:rsid w:val="67F69780"/>
    <w:rsid w:val="68247064"/>
    <w:rsid w:val="684A35D7"/>
    <w:rsid w:val="68CF20A6"/>
    <w:rsid w:val="693AA70B"/>
    <w:rsid w:val="6961FE62"/>
    <w:rsid w:val="69C9B60B"/>
    <w:rsid w:val="69E0AD64"/>
    <w:rsid w:val="69F09F4A"/>
    <w:rsid w:val="6A3AD81C"/>
    <w:rsid w:val="6A4BF531"/>
    <w:rsid w:val="6B09FBD2"/>
    <w:rsid w:val="6B64BEEB"/>
    <w:rsid w:val="6B7A2EAF"/>
    <w:rsid w:val="6BAC43FD"/>
    <w:rsid w:val="6C113FBB"/>
    <w:rsid w:val="6C125E6E"/>
    <w:rsid w:val="6C30AE9C"/>
    <w:rsid w:val="6CB9F861"/>
    <w:rsid w:val="6D13F6CD"/>
    <w:rsid w:val="6DFEA518"/>
    <w:rsid w:val="6E0A850B"/>
    <w:rsid w:val="6E97BB28"/>
    <w:rsid w:val="6ED32DBA"/>
    <w:rsid w:val="6ED53E5C"/>
    <w:rsid w:val="6F53FF8E"/>
    <w:rsid w:val="6F9D4551"/>
    <w:rsid w:val="6F9E892E"/>
    <w:rsid w:val="6FB22731"/>
    <w:rsid w:val="6FDE33F9"/>
    <w:rsid w:val="6FEE0D35"/>
    <w:rsid w:val="700D3A2D"/>
    <w:rsid w:val="704BB669"/>
    <w:rsid w:val="70508985"/>
    <w:rsid w:val="70C79A01"/>
    <w:rsid w:val="70D29CAD"/>
    <w:rsid w:val="70F86758"/>
    <w:rsid w:val="717238CE"/>
    <w:rsid w:val="717E2A40"/>
    <w:rsid w:val="719E6FE4"/>
    <w:rsid w:val="71BF0707"/>
    <w:rsid w:val="71D5F9BF"/>
    <w:rsid w:val="729DBCE3"/>
    <w:rsid w:val="72B89296"/>
    <w:rsid w:val="72EFD0BB"/>
    <w:rsid w:val="7354B233"/>
    <w:rsid w:val="7380F7F1"/>
    <w:rsid w:val="7417F3AA"/>
    <w:rsid w:val="74760978"/>
    <w:rsid w:val="747DC98F"/>
    <w:rsid w:val="74CE39AD"/>
    <w:rsid w:val="752A8135"/>
    <w:rsid w:val="75A91F4A"/>
    <w:rsid w:val="75DF75F6"/>
    <w:rsid w:val="75FF72D5"/>
    <w:rsid w:val="761AB2C6"/>
    <w:rsid w:val="76349A07"/>
    <w:rsid w:val="765047E7"/>
    <w:rsid w:val="765D2F41"/>
    <w:rsid w:val="766EB0F6"/>
    <w:rsid w:val="770E65DD"/>
    <w:rsid w:val="773521C2"/>
    <w:rsid w:val="77AE797E"/>
    <w:rsid w:val="77D95CC5"/>
    <w:rsid w:val="781EF9A6"/>
    <w:rsid w:val="78323841"/>
    <w:rsid w:val="786C1469"/>
    <w:rsid w:val="78862A02"/>
    <w:rsid w:val="788D6504"/>
    <w:rsid w:val="789EDBD7"/>
    <w:rsid w:val="78C004D1"/>
    <w:rsid w:val="7908E8E5"/>
    <w:rsid w:val="79280032"/>
    <w:rsid w:val="795F4EBE"/>
    <w:rsid w:val="797AE966"/>
    <w:rsid w:val="7985D1AB"/>
    <w:rsid w:val="7A49E249"/>
    <w:rsid w:val="7A515953"/>
    <w:rsid w:val="7AA117B5"/>
    <w:rsid w:val="7AF1B732"/>
    <w:rsid w:val="7B2DEB2E"/>
    <w:rsid w:val="7B3C10F9"/>
    <w:rsid w:val="7B7A4878"/>
    <w:rsid w:val="7B9D1850"/>
    <w:rsid w:val="7BDC963D"/>
    <w:rsid w:val="7C1C2E7B"/>
    <w:rsid w:val="7C45F5C9"/>
    <w:rsid w:val="7C5D127C"/>
    <w:rsid w:val="7C617469"/>
    <w:rsid w:val="7C7E0562"/>
    <w:rsid w:val="7C7E4028"/>
    <w:rsid w:val="7CDD2BAB"/>
    <w:rsid w:val="7D2D1BDE"/>
    <w:rsid w:val="7D4BE097"/>
    <w:rsid w:val="7D60E0B1"/>
    <w:rsid w:val="7D84B8EA"/>
    <w:rsid w:val="7DBE274D"/>
    <w:rsid w:val="7E29427E"/>
    <w:rsid w:val="7E377F86"/>
    <w:rsid w:val="7E3F8518"/>
    <w:rsid w:val="7E4029E6"/>
    <w:rsid w:val="7E4D9250"/>
    <w:rsid w:val="7E885523"/>
    <w:rsid w:val="7F1FC4C1"/>
    <w:rsid w:val="7F312C9E"/>
    <w:rsid w:val="7F5E621C"/>
    <w:rsid w:val="7F7DBCBD"/>
    <w:rsid w:val="7F84FD87"/>
    <w:rsid w:val="7F87A01C"/>
    <w:rsid w:val="7F89AE19"/>
    <w:rsid w:val="7FE2367A"/>
    <w:rsid w:val="7FEF268B"/>
    <w:rsid w:val="7FF01D6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DF2CC"/>
  <w15:chartTrackingRefBased/>
  <w15:docId w15:val="{FAE4CCFC-B9AB-4353-8C00-76CF0F18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C89"/>
    <w:pPr>
      <w:spacing w:before="280" w:after="280" w:line="278" w:lineRule="auto"/>
    </w:pPr>
    <w:rPr>
      <w:rFonts w:ascii="Arial" w:hAnsi="Arial"/>
      <w:sz w:val="24"/>
    </w:rPr>
  </w:style>
  <w:style w:type="paragraph" w:styleId="Titre1">
    <w:name w:val="heading 1"/>
    <w:basedOn w:val="Normal"/>
    <w:next w:val="Normal"/>
    <w:link w:val="Titre1Car"/>
    <w:uiPriority w:val="9"/>
    <w:qFormat/>
    <w:rsid w:val="00AA5461"/>
    <w:pPr>
      <w:keepNext/>
      <w:keepLines/>
      <w:spacing w:before="720" w:after="240"/>
      <w:outlineLvl w:val="0"/>
    </w:pPr>
    <w:rPr>
      <w:rFonts w:eastAsiaTheme="majorEastAsia" w:cs="Calibri"/>
      <w:b/>
      <w:sz w:val="40"/>
      <w:szCs w:val="36"/>
    </w:rPr>
  </w:style>
  <w:style w:type="paragraph" w:styleId="Titre2">
    <w:name w:val="heading 2"/>
    <w:basedOn w:val="Normal"/>
    <w:next w:val="Normal"/>
    <w:link w:val="Titre2Car"/>
    <w:uiPriority w:val="9"/>
    <w:unhideWhenUsed/>
    <w:qFormat/>
    <w:rsid w:val="001A6885"/>
    <w:pPr>
      <w:keepNext/>
      <w:keepLines/>
      <w:numPr>
        <w:numId w:val="59"/>
      </w:numPr>
      <w:spacing w:before="400"/>
      <w:outlineLvl w:val="1"/>
    </w:pPr>
    <w:rPr>
      <w:rFonts w:eastAsiaTheme="majorEastAsia" w:cs="Calibri"/>
      <w:b/>
      <w:sz w:val="36"/>
      <w:szCs w:val="32"/>
    </w:rPr>
  </w:style>
  <w:style w:type="paragraph" w:styleId="Titre3">
    <w:name w:val="heading 3"/>
    <w:basedOn w:val="Titre2"/>
    <w:next w:val="Normal"/>
    <w:link w:val="Titre3Car"/>
    <w:uiPriority w:val="9"/>
    <w:unhideWhenUsed/>
    <w:qFormat/>
    <w:rsid w:val="003F063D"/>
    <w:pPr>
      <w:numPr>
        <w:ilvl w:val="1"/>
      </w:numPr>
      <w:ind w:left="0" w:firstLine="0"/>
      <w:outlineLvl w:val="2"/>
    </w:pPr>
    <w:rPr>
      <w:sz w:val="32"/>
      <w:szCs w:val="28"/>
    </w:rPr>
  </w:style>
  <w:style w:type="paragraph" w:styleId="Titre4">
    <w:name w:val="heading 4"/>
    <w:basedOn w:val="Titre3"/>
    <w:next w:val="Normal"/>
    <w:link w:val="Titre4Car"/>
    <w:uiPriority w:val="9"/>
    <w:unhideWhenUsed/>
    <w:qFormat/>
    <w:rsid w:val="00332CC6"/>
    <w:pPr>
      <w:numPr>
        <w:ilvl w:val="2"/>
      </w:numPr>
      <w:ind w:left="0" w:firstLine="0"/>
      <w:outlineLvl w:val="3"/>
    </w:pPr>
  </w:style>
  <w:style w:type="paragraph" w:styleId="Titre5">
    <w:name w:val="heading 5"/>
    <w:basedOn w:val="Normal"/>
    <w:next w:val="Normal"/>
    <w:link w:val="Titre5Car"/>
    <w:uiPriority w:val="9"/>
    <w:semiHidden/>
    <w:unhideWhenUsed/>
    <w:qFormat/>
    <w:rsid w:val="00550C1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50C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0C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0C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0C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5461"/>
    <w:rPr>
      <w:rFonts w:ascii="Arial" w:eastAsiaTheme="majorEastAsia" w:hAnsi="Arial" w:cs="Calibri"/>
      <w:b/>
      <w:sz w:val="40"/>
      <w:szCs w:val="36"/>
    </w:rPr>
  </w:style>
  <w:style w:type="character" w:customStyle="1" w:styleId="Titre2Car">
    <w:name w:val="Titre 2 Car"/>
    <w:basedOn w:val="Policepardfaut"/>
    <w:link w:val="Titre2"/>
    <w:uiPriority w:val="9"/>
    <w:rsid w:val="001A6885"/>
    <w:rPr>
      <w:rFonts w:ascii="Arial" w:eastAsiaTheme="majorEastAsia" w:hAnsi="Arial" w:cs="Calibri"/>
      <w:b/>
      <w:sz w:val="36"/>
      <w:szCs w:val="32"/>
    </w:rPr>
  </w:style>
  <w:style w:type="character" w:customStyle="1" w:styleId="Titre3Car">
    <w:name w:val="Titre 3 Car"/>
    <w:basedOn w:val="Policepardfaut"/>
    <w:link w:val="Titre3"/>
    <w:uiPriority w:val="9"/>
    <w:rsid w:val="003F063D"/>
    <w:rPr>
      <w:rFonts w:ascii="Arial" w:eastAsiaTheme="majorEastAsia" w:hAnsi="Arial" w:cs="Calibri"/>
      <w:b/>
      <w:sz w:val="32"/>
      <w:szCs w:val="28"/>
    </w:rPr>
  </w:style>
  <w:style w:type="character" w:customStyle="1" w:styleId="Titre4Car">
    <w:name w:val="Titre 4 Car"/>
    <w:basedOn w:val="Policepardfaut"/>
    <w:link w:val="Titre4"/>
    <w:uiPriority w:val="9"/>
    <w:rsid w:val="00332CC6"/>
    <w:rPr>
      <w:rFonts w:ascii="Arial" w:eastAsiaTheme="majorEastAsia" w:hAnsi="Arial" w:cs="Calibri"/>
      <w:b/>
      <w:sz w:val="32"/>
      <w:szCs w:val="28"/>
    </w:rPr>
  </w:style>
  <w:style w:type="character" w:customStyle="1" w:styleId="Titre5Car">
    <w:name w:val="Titre 5 Car"/>
    <w:basedOn w:val="Policepardfaut"/>
    <w:link w:val="Titre5"/>
    <w:uiPriority w:val="9"/>
    <w:semiHidden/>
    <w:rsid w:val="00550C1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50C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0C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0C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0C19"/>
    <w:rPr>
      <w:rFonts w:eastAsiaTheme="majorEastAsia" w:cstheme="majorBidi"/>
      <w:color w:val="272727" w:themeColor="text1" w:themeTint="D8"/>
    </w:rPr>
  </w:style>
  <w:style w:type="paragraph" w:styleId="Titre">
    <w:name w:val="Title"/>
    <w:basedOn w:val="Normal"/>
    <w:next w:val="Normal"/>
    <w:link w:val="TitreCar"/>
    <w:uiPriority w:val="10"/>
    <w:qFormat/>
    <w:rsid w:val="00F25BCE"/>
    <w:pPr>
      <w:spacing w:after="480" w:line="240" w:lineRule="auto"/>
    </w:pPr>
    <w:rPr>
      <w:rFonts w:eastAsiaTheme="majorEastAsia" w:cstheme="majorBidi"/>
      <w:b/>
      <w:spacing w:val="-10"/>
      <w:kern w:val="28"/>
      <w:sz w:val="44"/>
      <w:szCs w:val="56"/>
    </w:rPr>
  </w:style>
  <w:style w:type="character" w:customStyle="1" w:styleId="TitreCar">
    <w:name w:val="Titre Car"/>
    <w:basedOn w:val="Policepardfaut"/>
    <w:link w:val="Titre"/>
    <w:uiPriority w:val="10"/>
    <w:rsid w:val="00F25BCE"/>
    <w:rPr>
      <w:rFonts w:ascii="Arial" w:eastAsiaTheme="majorEastAsia" w:hAnsi="Arial" w:cstheme="majorBidi"/>
      <w:b/>
      <w:spacing w:val="-10"/>
      <w:kern w:val="28"/>
      <w:sz w:val="44"/>
      <w:szCs w:val="56"/>
    </w:rPr>
  </w:style>
  <w:style w:type="paragraph" w:styleId="Sous-titre">
    <w:name w:val="Subtitle"/>
    <w:basedOn w:val="Normal"/>
    <w:next w:val="Normal"/>
    <w:link w:val="Sous-titreCar"/>
    <w:uiPriority w:val="11"/>
    <w:qFormat/>
    <w:rsid w:val="00550C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0C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0C19"/>
    <w:pPr>
      <w:spacing w:before="160"/>
      <w:jc w:val="center"/>
    </w:pPr>
    <w:rPr>
      <w:i/>
      <w:iCs/>
      <w:color w:val="404040" w:themeColor="text1" w:themeTint="BF"/>
    </w:rPr>
  </w:style>
  <w:style w:type="character" w:customStyle="1" w:styleId="CitationCar">
    <w:name w:val="Citation Car"/>
    <w:basedOn w:val="Policepardfaut"/>
    <w:link w:val="Citation"/>
    <w:uiPriority w:val="29"/>
    <w:rsid w:val="00550C19"/>
    <w:rPr>
      <w:i/>
      <w:iCs/>
      <w:color w:val="404040" w:themeColor="text1" w:themeTint="BF"/>
    </w:rPr>
  </w:style>
  <w:style w:type="paragraph" w:styleId="Paragraphedeliste">
    <w:name w:val="List Paragraph"/>
    <w:basedOn w:val="Normal"/>
    <w:link w:val="ParagraphedelisteCar"/>
    <w:uiPriority w:val="1"/>
    <w:qFormat/>
    <w:rsid w:val="00021B18"/>
    <w:pPr>
      <w:ind w:left="720"/>
    </w:pPr>
  </w:style>
  <w:style w:type="character" w:styleId="Accentuationintense">
    <w:name w:val="Intense Emphasis"/>
    <w:basedOn w:val="Policepardfaut"/>
    <w:uiPriority w:val="21"/>
    <w:qFormat/>
    <w:rsid w:val="00550C19"/>
    <w:rPr>
      <w:i/>
      <w:iCs/>
      <w:color w:val="2F5496" w:themeColor="accent1" w:themeShade="BF"/>
    </w:rPr>
  </w:style>
  <w:style w:type="paragraph" w:styleId="Citationintense">
    <w:name w:val="Intense Quote"/>
    <w:basedOn w:val="Normal"/>
    <w:next w:val="Normal"/>
    <w:link w:val="CitationintenseCar"/>
    <w:uiPriority w:val="30"/>
    <w:qFormat/>
    <w:rsid w:val="00550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50C19"/>
    <w:rPr>
      <w:i/>
      <w:iCs/>
      <w:color w:val="2F5496" w:themeColor="accent1" w:themeShade="BF"/>
    </w:rPr>
  </w:style>
  <w:style w:type="character" w:styleId="Rfrenceintense">
    <w:name w:val="Intense Reference"/>
    <w:basedOn w:val="Policepardfaut"/>
    <w:uiPriority w:val="32"/>
    <w:qFormat/>
    <w:rsid w:val="00550C19"/>
    <w:rPr>
      <w:b/>
      <w:bCs/>
      <w:smallCaps/>
      <w:color w:val="2F5496" w:themeColor="accent1" w:themeShade="BF"/>
      <w:spacing w:val="5"/>
    </w:rPr>
  </w:style>
  <w:style w:type="table" w:styleId="TableauListe7Couleur">
    <w:name w:val="List Table 7 Colorful"/>
    <w:basedOn w:val="TableauNormal"/>
    <w:uiPriority w:val="52"/>
    <w:rsid w:val="00904AE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basedOn w:val="Policepardfaut"/>
    <w:rsid w:val="00B2532A"/>
  </w:style>
  <w:style w:type="paragraph" w:customStyle="1" w:styleId="paragraph">
    <w:name w:val="paragraph"/>
    <w:basedOn w:val="Normal"/>
    <w:rsid w:val="00B2532A"/>
    <w:pPr>
      <w:spacing w:before="100" w:beforeAutospacing="1" w:after="100" w:afterAutospacing="1" w:line="240" w:lineRule="auto"/>
    </w:pPr>
    <w:rPr>
      <w:rFonts w:ascii="Times New Roman" w:eastAsia="Times New Roman" w:hAnsi="Times New Roman" w:cs="Times New Roman"/>
      <w:kern w:val="0"/>
      <w:szCs w:val="24"/>
      <w:lang w:eastAsia="fr-FR"/>
      <w14:ligatures w14:val="none"/>
    </w:rPr>
  </w:style>
  <w:style w:type="character" w:customStyle="1" w:styleId="eop">
    <w:name w:val="eop"/>
    <w:basedOn w:val="Policepardfaut"/>
    <w:rsid w:val="00B2532A"/>
  </w:style>
  <w:style w:type="character" w:styleId="Lienhypertexte">
    <w:name w:val="Hyperlink"/>
    <w:basedOn w:val="Policepardfaut"/>
    <w:uiPriority w:val="99"/>
    <w:unhideWhenUsed/>
    <w:rsid w:val="00122B7D"/>
    <w:rPr>
      <w:color w:val="0000FF"/>
      <w:u w:val="single"/>
    </w:rPr>
  </w:style>
  <w:style w:type="character" w:styleId="Mentionnonrsolue">
    <w:name w:val="Unresolved Mention"/>
    <w:basedOn w:val="Policepardfaut"/>
    <w:uiPriority w:val="99"/>
    <w:semiHidden/>
    <w:unhideWhenUsed/>
    <w:rsid w:val="007F1057"/>
    <w:rPr>
      <w:color w:val="605E5C"/>
      <w:shd w:val="clear" w:color="auto" w:fill="E1DFDD"/>
    </w:rPr>
  </w:style>
  <w:style w:type="character" w:styleId="Marquedecommentaire">
    <w:name w:val="annotation reference"/>
    <w:basedOn w:val="Policepardfaut"/>
    <w:uiPriority w:val="99"/>
    <w:unhideWhenUsed/>
    <w:rsid w:val="001B5EAD"/>
    <w:rPr>
      <w:sz w:val="16"/>
      <w:szCs w:val="16"/>
    </w:rPr>
  </w:style>
  <w:style w:type="paragraph" w:styleId="Commentaire">
    <w:name w:val="annotation text"/>
    <w:basedOn w:val="Normal"/>
    <w:link w:val="CommentaireCar"/>
    <w:uiPriority w:val="99"/>
    <w:unhideWhenUsed/>
    <w:rsid w:val="00194A21"/>
    <w:pPr>
      <w:spacing w:line="240" w:lineRule="auto"/>
    </w:pPr>
    <w:rPr>
      <w:kern w:val="0"/>
      <w:sz w:val="20"/>
      <w:szCs w:val="20"/>
      <w:lang w:val="fr-CA"/>
    </w:rPr>
  </w:style>
  <w:style w:type="character" w:customStyle="1" w:styleId="CommentaireCar">
    <w:name w:val="Commentaire Car"/>
    <w:basedOn w:val="Policepardfaut"/>
    <w:link w:val="Commentaire"/>
    <w:uiPriority w:val="99"/>
    <w:rsid w:val="00194A21"/>
    <w:rPr>
      <w:kern w:val="0"/>
      <w:sz w:val="20"/>
      <w:szCs w:val="20"/>
      <w:lang w:val="fr-CA"/>
    </w:rPr>
  </w:style>
  <w:style w:type="paragraph" w:styleId="Objetducommentaire">
    <w:name w:val="annotation subject"/>
    <w:basedOn w:val="Commentaire"/>
    <w:next w:val="Commentaire"/>
    <w:link w:val="ObjetducommentaireCar"/>
    <w:uiPriority w:val="99"/>
    <w:semiHidden/>
    <w:unhideWhenUsed/>
    <w:rsid w:val="00431E6D"/>
    <w:rPr>
      <w:b/>
      <w:bCs/>
      <w:kern w:val="2"/>
      <w:lang w:val="fr-FR"/>
    </w:rPr>
  </w:style>
  <w:style w:type="character" w:customStyle="1" w:styleId="ObjetducommentaireCar">
    <w:name w:val="Objet du commentaire Car"/>
    <w:basedOn w:val="CommentaireCar"/>
    <w:link w:val="Objetducommentaire"/>
    <w:uiPriority w:val="99"/>
    <w:semiHidden/>
    <w:rsid w:val="00431E6D"/>
    <w:rPr>
      <w:b/>
      <w:bCs/>
      <w:kern w:val="0"/>
      <w:sz w:val="20"/>
      <w:szCs w:val="20"/>
      <w:lang w:val="fr-CA"/>
    </w:rPr>
  </w:style>
  <w:style w:type="table" w:customStyle="1" w:styleId="Grilledutableau1">
    <w:name w:val="Grille du tableau1"/>
    <w:basedOn w:val="TableauNormal"/>
    <w:next w:val="Grilledutableau"/>
    <w:uiPriority w:val="39"/>
    <w:rsid w:val="005B553A"/>
    <w:pPr>
      <w:spacing w:after="0" w:line="240" w:lineRule="auto"/>
    </w:pPr>
    <w:rPr>
      <w:kern w:val="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5B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B2366"/>
    <w:pPr>
      <w:tabs>
        <w:tab w:val="center" w:pos="4536"/>
        <w:tab w:val="right" w:pos="9072"/>
      </w:tabs>
      <w:spacing w:after="0" w:line="240" w:lineRule="auto"/>
    </w:pPr>
  </w:style>
  <w:style w:type="character" w:customStyle="1" w:styleId="En-tteCar">
    <w:name w:val="En-tête Car"/>
    <w:basedOn w:val="Policepardfaut"/>
    <w:link w:val="En-tte"/>
    <w:uiPriority w:val="99"/>
    <w:rsid w:val="00FB2366"/>
  </w:style>
  <w:style w:type="paragraph" w:styleId="Pieddepage">
    <w:name w:val="footer"/>
    <w:basedOn w:val="Normal"/>
    <w:link w:val="PieddepageCar"/>
    <w:uiPriority w:val="99"/>
    <w:unhideWhenUsed/>
    <w:rsid w:val="00FB23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2366"/>
  </w:style>
  <w:style w:type="paragraph" w:styleId="TM1">
    <w:name w:val="toc 1"/>
    <w:basedOn w:val="Normal"/>
    <w:next w:val="Normal"/>
    <w:autoRedefine/>
    <w:uiPriority w:val="39"/>
    <w:unhideWhenUsed/>
    <w:rsid w:val="00901DA7"/>
    <w:pPr>
      <w:tabs>
        <w:tab w:val="left" w:pos="567"/>
        <w:tab w:val="right" w:leader="dot" w:pos="9062"/>
      </w:tabs>
      <w:spacing w:after="100" w:line="276" w:lineRule="auto"/>
    </w:pPr>
  </w:style>
  <w:style w:type="character" w:customStyle="1" w:styleId="ui-provider">
    <w:name w:val="ui-provider"/>
    <w:basedOn w:val="Policepardfaut"/>
    <w:rsid w:val="004375DD"/>
  </w:style>
  <w:style w:type="paragraph" w:styleId="Rvision">
    <w:name w:val="Revision"/>
    <w:hidden/>
    <w:uiPriority w:val="99"/>
    <w:semiHidden/>
    <w:rsid w:val="00B602C4"/>
    <w:pPr>
      <w:spacing w:after="0" w:line="240" w:lineRule="auto"/>
    </w:pPr>
  </w:style>
  <w:style w:type="character" w:customStyle="1" w:styleId="ParagraphedelisteCar">
    <w:name w:val="Paragraphe de liste Car"/>
    <w:link w:val="Paragraphedeliste"/>
    <w:uiPriority w:val="1"/>
    <w:rsid w:val="00021B18"/>
    <w:rPr>
      <w:rFonts w:ascii="Arial" w:hAnsi="Arial"/>
      <w:sz w:val="24"/>
    </w:rPr>
  </w:style>
  <w:style w:type="paragraph" w:styleId="NormalWeb">
    <w:name w:val="Normal (Web)"/>
    <w:basedOn w:val="Normal"/>
    <w:uiPriority w:val="99"/>
    <w:unhideWhenUsed/>
    <w:rsid w:val="00A15D72"/>
    <w:pPr>
      <w:spacing w:before="100" w:beforeAutospacing="1" w:after="100" w:afterAutospacing="1" w:line="240" w:lineRule="auto"/>
    </w:pPr>
    <w:rPr>
      <w:rFonts w:ascii="Times New Roman" w:eastAsia="Times New Roman" w:hAnsi="Times New Roman" w:cs="Times New Roman"/>
      <w:kern w:val="0"/>
      <w:szCs w:val="24"/>
      <w:lang w:eastAsia="fr-FR"/>
      <w14:ligatures w14:val="none"/>
    </w:rPr>
  </w:style>
  <w:style w:type="paragraph" w:customStyle="1" w:styleId="corps">
    <w:name w:val="corps"/>
    <w:basedOn w:val="Normal"/>
    <w:rsid w:val="00A15D72"/>
    <w:pPr>
      <w:spacing w:before="100" w:beforeAutospacing="1" w:after="100" w:afterAutospacing="1" w:line="240" w:lineRule="auto"/>
    </w:pPr>
    <w:rPr>
      <w:rFonts w:ascii="Times New Roman" w:eastAsiaTheme="minorEastAsia" w:hAnsi="Times New Roman" w:cs="Times New Roman"/>
      <w:kern w:val="0"/>
      <w:szCs w:val="24"/>
      <w:lang w:val="fr-CA" w:eastAsia="fr-CA"/>
      <w14:ligatures w14:val="none"/>
    </w:rPr>
  </w:style>
  <w:style w:type="paragraph" w:styleId="Corpsdetexte">
    <w:name w:val="Body Text"/>
    <w:basedOn w:val="Normal"/>
    <w:link w:val="CorpsdetexteCar"/>
    <w:uiPriority w:val="1"/>
    <w:qFormat/>
    <w:rsid w:val="00266329"/>
    <w:pPr>
      <w:widowControl w:val="0"/>
      <w:spacing w:after="0" w:line="240" w:lineRule="auto"/>
      <w:ind w:left="100"/>
    </w:pPr>
    <w:rPr>
      <w:rFonts w:eastAsia="Arial"/>
      <w:kern w:val="0"/>
      <w:lang w:val="en-US"/>
      <w14:ligatures w14:val="none"/>
    </w:rPr>
  </w:style>
  <w:style w:type="character" w:customStyle="1" w:styleId="CorpsdetexteCar">
    <w:name w:val="Corps de texte Car"/>
    <w:basedOn w:val="Policepardfaut"/>
    <w:link w:val="Corpsdetexte"/>
    <w:uiPriority w:val="1"/>
    <w:rsid w:val="00266329"/>
    <w:rPr>
      <w:rFonts w:ascii="Arial" w:eastAsia="Arial" w:hAnsi="Arial"/>
      <w:kern w:val="0"/>
      <w:sz w:val="24"/>
      <w:lang w:val="en-US"/>
      <w14:ligatures w14:val="none"/>
    </w:rPr>
  </w:style>
  <w:style w:type="character" w:styleId="Mention">
    <w:name w:val="Mention"/>
    <w:basedOn w:val="Policepardfaut"/>
    <w:uiPriority w:val="99"/>
    <w:unhideWhenUsed/>
    <w:rsid w:val="00266329"/>
    <w:rPr>
      <w:color w:val="2B579A"/>
      <w:shd w:val="clear" w:color="auto" w:fill="E1DFDD"/>
    </w:rPr>
  </w:style>
  <w:style w:type="character" w:styleId="Lienhypertextesuivivisit">
    <w:name w:val="FollowedHyperlink"/>
    <w:basedOn w:val="Policepardfaut"/>
    <w:uiPriority w:val="99"/>
    <w:semiHidden/>
    <w:unhideWhenUsed/>
    <w:rsid w:val="003D4C2D"/>
    <w:rPr>
      <w:color w:val="954F72" w:themeColor="followedHyperlink"/>
      <w:u w:val="single"/>
    </w:rPr>
  </w:style>
  <w:style w:type="table" w:styleId="Tableausimple2">
    <w:name w:val="Plain Table 2"/>
    <w:basedOn w:val="TableauNormal"/>
    <w:uiPriority w:val="99"/>
    <w:rsid w:val="003D5918"/>
    <w:pPr>
      <w:spacing w:after="0" w:line="240" w:lineRule="auto"/>
    </w:pPr>
    <w:rPr>
      <w:kern w:val="0"/>
      <w:lang w:val="fr-CA"/>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tedebasdepage">
    <w:name w:val="footnote text"/>
    <w:basedOn w:val="Normal"/>
    <w:link w:val="NotedebasdepageCar"/>
    <w:uiPriority w:val="99"/>
    <w:semiHidden/>
    <w:unhideWhenUsed/>
    <w:rsid w:val="00D322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3226F"/>
    <w:rPr>
      <w:sz w:val="20"/>
      <w:szCs w:val="20"/>
    </w:rPr>
  </w:style>
  <w:style w:type="character" w:styleId="Appelnotedebasdep">
    <w:name w:val="footnote reference"/>
    <w:basedOn w:val="Policepardfaut"/>
    <w:uiPriority w:val="99"/>
    <w:semiHidden/>
    <w:unhideWhenUsed/>
    <w:rsid w:val="00D3226F"/>
    <w:rPr>
      <w:vertAlign w:val="superscript"/>
    </w:rPr>
  </w:style>
  <w:style w:type="paragraph" w:styleId="TM2">
    <w:name w:val="toc 2"/>
    <w:basedOn w:val="Normal"/>
    <w:next w:val="Normal"/>
    <w:autoRedefine/>
    <w:uiPriority w:val="39"/>
    <w:unhideWhenUsed/>
    <w:rsid w:val="00676937"/>
    <w:pPr>
      <w:spacing w:after="100"/>
      <w:ind w:left="240"/>
    </w:pPr>
  </w:style>
  <w:style w:type="paragraph" w:styleId="TM3">
    <w:name w:val="toc 3"/>
    <w:basedOn w:val="Normal"/>
    <w:next w:val="Normal"/>
    <w:autoRedefine/>
    <w:uiPriority w:val="39"/>
    <w:unhideWhenUsed/>
    <w:rsid w:val="0067693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3398">
      <w:bodyDiv w:val="1"/>
      <w:marLeft w:val="0"/>
      <w:marRight w:val="0"/>
      <w:marTop w:val="0"/>
      <w:marBottom w:val="0"/>
      <w:divBdr>
        <w:top w:val="none" w:sz="0" w:space="0" w:color="auto"/>
        <w:left w:val="none" w:sz="0" w:space="0" w:color="auto"/>
        <w:bottom w:val="none" w:sz="0" w:space="0" w:color="auto"/>
        <w:right w:val="none" w:sz="0" w:space="0" w:color="auto"/>
      </w:divBdr>
    </w:div>
    <w:div w:id="654534169">
      <w:bodyDiv w:val="1"/>
      <w:marLeft w:val="0"/>
      <w:marRight w:val="0"/>
      <w:marTop w:val="0"/>
      <w:marBottom w:val="0"/>
      <w:divBdr>
        <w:top w:val="none" w:sz="0" w:space="0" w:color="auto"/>
        <w:left w:val="none" w:sz="0" w:space="0" w:color="auto"/>
        <w:bottom w:val="none" w:sz="0" w:space="0" w:color="auto"/>
        <w:right w:val="none" w:sz="0" w:space="0" w:color="auto"/>
      </w:divBdr>
      <w:divsChild>
        <w:div w:id="1061175230">
          <w:marLeft w:val="0"/>
          <w:marRight w:val="0"/>
          <w:marTop w:val="0"/>
          <w:marBottom w:val="0"/>
          <w:divBdr>
            <w:top w:val="none" w:sz="0" w:space="0" w:color="auto"/>
            <w:left w:val="none" w:sz="0" w:space="0" w:color="auto"/>
            <w:bottom w:val="none" w:sz="0" w:space="0" w:color="auto"/>
            <w:right w:val="none" w:sz="0" w:space="0" w:color="auto"/>
          </w:divBdr>
        </w:div>
        <w:div w:id="2140799868">
          <w:marLeft w:val="0"/>
          <w:marRight w:val="0"/>
          <w:marTop w:val="0"/>
          <w:marBottom w:val="0"/>
          <w:divBdr>
            <w:top w:val="none" w:sz="0" w:space="0" w:color="auto"/>
            <w:left w:val="none" w:sz="0" w:space="0" w:color="auto"/>
            <w:bottom w:val="none" w:sz="0" w:space="0" w:color="auto"/>
            <w:right w:val="none" w:sz="0" w:space="0" w:color="auto"/>
          </w:divBdr>
        </w:div>
      </w:divsChild>
    </w:div>
    <w:div w:id="711660300">
      <w:bodyDiv w:val="1"/>
      <w:marLeft w:val="0"/>
      <w:marRight w:val="0"/>
      <w:marTop w:val="0"/>
      <w:marBottom w:val="0"/>
      <w:divBdr>
        <w:top w:val="none" w:sz="0" w:space="0" w:color="auto"/>
        <w:left w:val="none" w:sz="0" w:space="0" w:color="auto"/>
        <w:bottom w:val="none" w:sz="0" w:space="0" w:color="auto"/>
        <w:right w:val="none" w:sz="0" w:space="0" w:color="auto"/>
      </w:divBdr>
    </w:div>
    <w:div w:id="765418922">
      <w:bodyDiv w:val="1"/>
      <w:marLeft w:val="0"/>
      <w:marRight w:val="0"/>
      <w:marTop w:val="0"/>
      <w:marBottom w:val="0"/>
      <w:divBdr>
        <w:top w:val="none" w:sz="0" w:space="0" w:color="auto"/>
        <w:left w:val="none" w:sz="0" w:space="0" w:color="auto"/>
        <w:bottom w:val="none" w:sz="0" w:space="0" w:color="auto"/>
        <w:right w:val="none" w:sz="0" w:space="0" w:color="auto"/>
      </w:divBdr>
      <w:divsChild>
        <w:div w:id="1121611143">
          <w:marLeft w:val="0"/>
          <w:marRight w:val="0"/>
          <w:marTop w:val="0"/>
          <w:marBottom w:val="0"/>
          <w:divBdr>
            <w:top w:val="none" w:sz="0" w:space="0" w:color="auto"/>
            <w:left w:val="none" w:sz="0" w:space="0" w:color="auto"/>
            <w:bottom w:val="none" w:sz="0" w:space="0" w:color="auto"/>
            <w:right w:val="none" w:sz="0" w:space="0" w:color="auto"/>
          </w:divBdr>
        </w:div>
        <w:div w:id="1925869367">
          <w:marLeft w:val="0"/>
          <w:marRight w:val="0"/>
          <w:marTop w:val="0"/>
          <w:marBottom w:val="0"/>
          <w:divBdr>
            <w:top w:val="none" w:sz="0" w:space="0" w:color="auto"/>
            <w:left w:val="none" w:sz="0" w:space="0" w:color="auto"/>
            <w:bottom w:val="none" w:sz="0" w:space="0" w:color="auto"/>
            <w:right w:val="none" w:sz="0" w:space="0" w:color="auto"/>
          </w:divBdr>
        </w:div>
      </w:divsChild>
    </w:div>
    <w:div w:id="788164138">
      <w:bodyDiv w:val="1"/>
      <w:marLeft w:val="0"/>
      <w:marRight w:val="0"/>
      <w:marTop w:val="0"/>
      <w:marBottom w:val="0"/>
      <w:divBdr>
        <w:top w:val="none" w:sz="0" w:space="0" w:color="auto"/>
        <w:left w:val="none" w:sz="0" w:space="0" w:color="auto"/>
        <w:bottom w:val="none" w:sz="0" w:space="0" w:color="auto"/>
        <w:right w:val="none" w:sz="0" w:space="0" w:color="auto"/>
      </w:divBdr>
    </w:div>
    <w:div w:id="927034547">
      <w:bodyDiv w:val="1"/>
      <w:marLeft w:val="0"/>
      <w:marRight w:val="0"/>
      <w:marTop w:val="0"/>
      <w:marBottom w:val="0"/>
      <w:divBdr>
        <w:top w:val="none" w:sz="0" w:space="0" w:color="auto"/>
        <w:left w:val="none" w:sz="0" w:space="0" w:color="auto"/>
        <w:bottom w:val="none" w:sz="0" w:space="0" w:color="auto"/>
        <w:right w:val="none" w:sz="0" w:space="0" w:color="auto"/>
      </w:divBdr>
      <w:divsChild>
        <w:div w:id="244805141">
          <w:marLeft w:val="0"/>
          <w:marRight w:val="0"/>
          <w:marTop w:val="0"/>
          <w:marBottom w:val="0"/>
          <w:divBdr>
            <w:top w:val="none" w:sz="0" w:space="0" w:color="auto"/>
            <w:left w:val="none" w:sz="0" w:space="0" w:color="auto"/>
            <w:bottom w:val="none" w:sz="0" w:space="0" w:color="auto"/>
            <w:right w:val="none" w:sz="0" w:space="0" w:color="auto"/>
          </w:divBdr>
        </w:div>
      </w:divsChild>
    </w:div>
    <w:div w:id="957688881">
      <w:bodyDiv w:val="1"/>
      <w:marLeft w:val="0"/>
      <w:marRight w:val="0"/>
      <w:marTop w:val="0"/>
      <w:marBottom w:val="0"/>
      <w:divBdr>
        <w:top w:val="none" w:sz="0" w:space="0" w:color="auto"/>
        <w:left w:val="none" w:sz="0" w:space="0" w:color="auto"/>
        <w:bottom w:val="none" w:sz="0" w:space="0" w:color="auto"/>
        <w:right w:val="none" w:sz="0" w:space="0" w:color="auto"/>
      </w:divBdr>
    </w:div>
    <w:div w:id="1046687415">
      <w:bodyDiv w:val="1"/>
      <w:marLeft w:val="0"/>
      <w:marRight w:val="0"/>
      <w:marTop w:val="0"/>
      <w:marBottom w:val="0"/>
      <w:divBdr>
        <w:top w:val="none" w:sz="0" w:space="0" w:color="auto"/>
        <w:left w:val="none" w:sz="0" w:space="0" w:color="auto"/>
        <w:bottom w:val="none" w:sz="0" w:space="0" w:color="auto"/>
        <w:right w:val="none" w:sz="0" w:space="0" w:color="auto"/>
      </w:divBdr>
    </w:div>
    <w:div w:id="1381709092">
      <w:bodyDiv w:val="1"/>
      <w:marLeft w:val="0"/>
      <w:marRight w:val="0"/>
      <w:marTop w:val="0"/>
      <w:marBottom w:val="0"/>
      <w:divBdr>
        <w:top w:val="none" w:sz="0" w:space="0" w:color="auto"/>
        <w:left w:val="none" w:sz="0" w:space="0" w:color="auto"/>
        <w:bottom w:val="none" w:sz="0" w:space="0" w:color="auto"/>
        <w:right w:val="none" w:sz="0" w:space="0" w:color="auto"/>
      </w:divBdr>
    </w:div>
    <w:div w:id="1510948135">
      <w:bodyDiv w:val="1"/>
      <w:marLeft w:val="0"/>
      <w:marRight w:val="0"/>
      <w:marTop w:val="0"/>
      <w:marBottom w:val="0"/>
      <w:divBdr>
        <w:top w:val="none" w:sz="0" w:space="0" w:color="auto"/>
        <w:left w:val="none" w:sz="0" w:space="0" w:color="auto"/>
        <w:bottom w:val="none" w:sz="0" w:space="0" w:color="auto"/>
        <w:right w:val="none" w:sz="0" w:space="0" w:color="auto"/>
      </w:divBdr>
    </w:div>
    <w:div w:id="1823816154">
      <w:bodyDiv w:val="1"/>
      <w:marLeft w:val="0"/>
      <w:marRight w:val="0"/>
      <w:marTop w:val="0"/>
      <w:marBottom w:val="0"/>
      <w:divBdr>
        <w:top w:val="none" w:sz="0" w:space="0" w:color="auto"/>
        <w:left w:val="none" w:sz="0" w:space="0" w:color="auto"/>
        <w:bottom w:val="none" w:sz="0" w:space="0" w:color="auto"/>
        <w:right w:val="none" w:sz="0" w:space="0" w:color="auto"/>
      </w:divBdr>
      <w:divsChild>
        <w:div w:id="913973874">
          <w:marLeft w:val="0"/>
          <w:marRight w:val="0"/>
          <w:marTop w:val="0"/>
          <w:marBottom w:val="0"/>
          <w:divBdr>
            <w:top w:val="none" w:sz="0" w:space="0" w:color="auto"/>
            <w:left w:val="none" w:sz="0" w:space="0" w:color="auto"/>
            <w:bottom w:val="none" w:sz="0" w:space="0" w:color="auto"/>
            <w:right w:val="none" w:sz="0" w:space="0" w:color="auto"/>
          </w:divBdr>
        </w:div>
        <w:div w:id="87311427">
          <w:marLeft w:val="0"/>
          <w:marRight w:val="0"/>
          <w:marTop w:val="0"/>
          <w:marBottom w:val="0"/>
          <w:divBdr>
            <w:top w:val="none" w:sz="0" w:space="0" w:color="auto"/>
            <w:left w:val="none" w:sz="0" w:space="0" w:color="auto"/>
            <w:bottom w:val="none" w:sz="0" w:space="0" w:color="auto"/>
            <w:right w:val="none" w:sz="0" w:space="0" w:color="auto"/>
          </w:divBdr>
        </w:div>
        <w:div w:id="1534611663">
          <w:marLeft w:val="0"/>
          <w:marRight w:val="0"/>
          <w:marTop w:val="0"/>
          <w:marBottom w:val="0"/>
          <w:divBdr>
            <w:top w:val="none" w:sz="0" w:space="0" w:color="auto"/>
            <w:left w:val="none" w:sz="0" w:space="0" w:color="auto"/>
            <w:bottom w:val="none" w:sz="0" w:space="0" w:color="auto"/>
            <w:right w:val="none" w:sz="0" w:space="0" w:color="auto"/>
          </w:divBdr>
        </w:div>
        <w:div w:id="1013069327">
          <w:marLeft w:val="0"/>
          <w:marRight w:val="0"/>
          <w:marTop w:val="0"/>
          <w:marBottom w:val="0"/>
          <w:divBdr>
            <w:top w:val="none" w:sz="0" w:space="0" w:color="auto"/>
            <w:left w:val="none" w:sz="0" w:space="0" w:color="auto"/>
            <w:bottom w:val="none" w:sz="0" w:space="0" w:color="auto"/>
            <w:right w:val="none" w:sz="0" w:space="0" w:color="auto"/>
          </w:divBdr>
        </w:div>
        <w:div w:id="1946575140">
          <w:marLeft w:val="0"/>
          <w:marRight w:val="0"/>
          <w:marTop w:val="0"/>
          <w:marBottom w:val="0"/>
          <w:divBdr>
            <w:top w:val="none" w:sz="0" w:space="0" w:color="auto"/>
            <w:left w:val="none" w:sz="0" w:space="0" w:color="auto"/>
            <w:bottom w:val="none" w:sz="0" w:space="0" w:color="auto"/>
            <w:right w:val="none" w:sz="0" w:space="0" w:color="auto"/>
          </w:divBdr>
        </w:div>
        <w:div w:id="1207718216">
          <w:marLeft w:val="0"/>
          <w:marRight w:val="0"/>
          <w:marTop w:val="0"/>
          <w:marBottom w:val="0"/>
          <w:divBdr>
            <w:top w:val="none" w:sz="0" w:space="0" w:color="auto"/>
            <w:left w:val="none" w:sz="0" w:space="0" w:color="auto"/>
            <w:bottom w:val="none" w:sz="0" w:space="0" w:color="auto"/>
            <w:right w:val="none" w:sz="0" w:space="0" w:color="auto"/>
          </w:divBdr>
        </w:div>
        <w:div w:id="1563521001">
          <w:marLeft w:val="0"/>
          <w:marRight w:val="0"/>
          <w:marTop w:val="0"/>
          <w:marBottom w:val="0"/>
          <w:divBdr>
            <w:top w:val="none" w:sz="0" w:space="0" w:color="auto"/>
            <w:left w:val="none" w:sz="0" w:space="0" w:color="auto"/>
            <w:bottom w:val="none" w:sz="0" w:space="0" w:color="auto"/>
            <w:right w:val="none" w:sz="0" w:space="0" w:color="auto"/>
          </w:divBdr>
        </w:div>
      </w:divsChild>
    </w:div>
    <w:div w:id="1866357685">
      <w:bodyDiv w:val="1"/>
      <w:marLeft w:val="0"/>
      <w:marRight w:val="0"/>
      <w:marTop w:val="0"/>
      <w:marBottom w:val="0"/>
      <w:divBdr>
        <w:top w:val="none" w:sz="0" w:space="0" w:color="auto"/>
        <w:left w:val="none" w:sz="0" w:space="0" w:color="auto"/>
        <w:bottom w:val="none" w:sz="0" w:space="0" w:color="auto"/>
        <w:right w:val="none" w:sz="0" w:space="0" w:color="auto"/>
      </w:divBdr>
    </w:div>
    <w:div w:id="1953975315">
      <w:bodyDiv w:val="1"/>
      <w:marLeft w:val="0"/>
      <w:marRight w:val="0"/>
      <w:marTop w:val="0"/>
      <w:marBottom w:val="0"/>
      <w:divBdr>
        <w:top w:val="none" w:sz="0" w:space="0" w:color="auto"/>
        <w:left w:val="none" w:sz="0" w:space="0" w:color="auto"/>
        <w:bottom w:val="none" w:sz="0" w:space="0" w:color="auto"/>
        <w:right w:val="none" w:sz="0" w:space="0" w:color="auto"/>
      </w:divBdr>
    </w:div>
    <w:div w:id="2009481727">
      <w:bodyDiv w:val="1"/>
      <w:marLeft w:val="0"/>
      <w:marRight w:val="0"/>
      <w:marTop w:val="0"/>
      <w:marBottom w:val="0"/>
      <w:divBdr>
        <w:top w:val="none" w:sz="0" w:space="0" w:color="auto"/>
        <w:left w:val="none" w:sz="0" w:space="0" w:color="auto"/>
        <w:bottom w:val="none" w:sz="0" w:space="0" w:color="auto"/>
        <w:right w:val="none" w:sz="0" w:space="0" w:color="auto"/>
      </w:divBdr>
    </w:div>
    <w:div w:id="2039772431">
      <w:bodyDiv w:val="1"/>
      <w:marLeft w:val="0"/>
      <w:marRight w:val="0"/>
      <w:marTop w:val="0"/>
      <w:marBottom w:val="0"/>
      <w:divBdr>
        <w:top w:val="none" w:sz="0" w:space="0" w:color="auto"/>
        <w:left w:val="none" w:sz="0" w:space="0" w:color="auto"/>
        <w:bottom w:val="none" w:sz="0" w:space="0" w:color="auto"/>
        <w:right w:val="none" w:sz="0" w:space="0" w:color="auto"/>
      </w:divBdr>
    </w:div>
    <w:div w:id="2113239687">
      <w:bodyDiv w:val="1"/>
      <w:marLeft w:val="0"/>
      <w:marRight w:val="0"/>
      <w:marTop w:val="0"/>
      <w:marBottom w:val="0"/>
      <w:divBdr>
        <w:top w:val="none" w:sz="0" w:space="0" w:color="auto"/>
        <w:left w:val="none" w:sz="0" w:space="0" w:color="auto"/>
        <w:bottom w:val="none" w:sz="0" w:space="0" w:color="auto"/>
        <w:right w:val="none" w:sz="0" w:space="0" w:color="auto"/>
      </w:divBdr>
      <w:divsChild>
        <w:div w:id="1959527811">
          <w:marLeft w:val="0"/>
          <w:marRight w:val="0"/>
          <w:marTop w:val="0"/>
          <w:marBottom w:val="0"/>
          <w:divBdr>
            <w:top w:val="none" w:sz="0" w:space="0" w:color="auto"/>
            <w:left w:val="none" w:sz="0" w:space="0" w:color="auto"/>
            <w:bottom w:val="none" w:sz="0" w:space="0" w:color="auto"/>
            <w:right w:val="none" w:sz="0" w:space="0" w:color="auto"/>
          </w:divBdr>
        </w:div>
      </w:divsChild>
    </w:div>
    <w:div w:id="211735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urspost.sc@frq.gouv.qc.ca" TargetMode="External"/><Relationship Id="rId18" Type="http://schemas.openxmlformats.org/officeDocument/2006/relationships/hyperlink" Target="https://frq.gouv.qc.ca/declaration-de-reconnaissance-des-savoirs-autochtones-du-fond-de-recherche-du-quebec/" TargetMode="External"/><Relationship Id="rId26" Type="http://schemas.openxmlformats.org/officeDocument/2006/relationships/hyperlink" Target="https://frq.gouv.qc.ca/science-ouverte/politique-diffusion-2022" TargetMode="External"/><Relationship Id="rId39" Type="http://schemas.openxmlformats.org/officeDocument/2006/relationships/header" Target="header2.xml"/><Relationship Id="rId21" Type="http://schemas.openxmlformats.org/officeDocument/2006/relationships/hyperlink" Target="https://frq.gouv.qc.ca/guide-dutilisation-de-la-bourse-maitrise-et-doctorat-frqsc/" TargetMode="External"/><Relationship Id="rId34" Type="http://schemas.openxmlformats.org/officeDocument/2006/relationships/hyperlink" Target="https://frq.gouv.qc.ca/guide-de-redaction-du-rapport-de-recherche-actions-concertees/"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rq.gouv.qc.ca/les-fonds-de-recherche-du-quebec-adherent-a-la-declaration-de-san-francisco-sur-levaluation-de-la-recherche/" TargetMode="External"/><Relationship Id="rId29" Type="http://schemas.openxmlformats.org/officeDocument/2006/relationships/hyperlink" Target="https://frq.gouv.qc.ca/sante/mission-et-domaines-de-recherch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q.gouv.qc.ca/regles-generales-communes/" TargetMode="External"/><Relationship Id="rId24" Type="http://schemas.openxmlformats.org/officeDocument/2006/relationships/hyperlink" Target="https://frqnet.frq.gouv.qc.ca/Documents/normes_presentation.pdf" TargetMode="External"/><Relationship Id="rId32" Type="http://schemas.openxmlformats.org/officeDocument/2006/relationships/hyperlink" Target="https://frq.gouv.qc.ca/app/uploads/2026/06/liste_comites.pdf" TargetMode="External"/><Relationship Id="rId37" Type="http://schemas.openxmlformats.org/officeDocument/2006/relationships/hyperlink" Target="https://frq.gouv.qc.ca/frq-bourses-postdoctorales-documents-lies-a-lutilisation-de-la-bours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entre.assistance@frq.gouv.qc.ca" TargetMode="External"/><Relationship Id="rId23" Type="http://schemas.openxmlformats.org/officeDocument/2006/relationships/hyperlink" Target="https://frqnet.frq.gouv.qc.ca/Documents/Guide_personnes_candidates.pdf" TargetMode="External"/><Relationship Id="rId28" Type="http://schemas.openxmlformats.org/officeDocument/2006/relationships/hyperlink" Target="https://frq.gouv.qc.ca/nature-et-technologies/mission-et-domaines-de-recherche/" TargetMode="External"/><Relationship Id="rId36" Type="http://schemas.openxmlformats.org/officeDocument/2006/relationships/hyperlink" Target="https://frq.gouv.qc.ca/guide-de-redaction-du-rapport-de-recherche-actions-concertees/" TargetMode="External"/><Relationship Id="rId10" Type="http://schemas.openxmlformats.org/officeDocument/2006/relationships/endnotes" Target="endnotes.xml"/><Relationship Id="rId19" Type="http://schemas.openxmlformats.org/officeDocument/2006/relationships/hyperlink" Target="https://frq.gouv.qc.ca/frq-bourses-postdoctorales-documents-lies-a-lutilisation-de-la-bourse/" TargetMode="External"/><Relationship Id="rId31" Type="http://schemas.openxmlformats.org/officeDocument/2006/relationships/hyperlink" Target="https://frq.gouv.qc.ca/app/uploads/2026/06/lignes_directrices_choix.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urspost.sc@frq.gouv.qc.ca" TargetMode="External"/><Relationship Id="rId22" Type="http://schemas.openxmlformats.org/officeDocument/2006/relationships/hyperlink" Target="https://frqnet.frq.gouv.qc.ca/" TargetMode="External"/><Relationship Id="rId27" Type="http://schemas.openxmlformats.org/officeDocument/2006/relationships/hyperlink" Target="https://frq.gouv.qc.ca/la-conduite-responsable-en-recherche/" TargetMode="External"/><Relationship Id="rId30" Type="http://schemas.openxmlformats.org/officeDocument/2006/relationships/hyperlink" Target="https://frq.gouv.qc.ca/societe-et-culture/mission-et-domaines-de-recherche/" TargetMode="External"/><Relationship Id="rId35" Type="http://schemas.openxmlformats.org/officeDocument/2006/relationships/hyperlink" Target="https://frq.gouv.qc.ca/guide-de-redaction-du-rapport-de-recherche-actions-concertees/"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rqnet.frq.gouv.qc.ca/" TargetMode="External"/><Relationship Id="rId17" Type="http://schemas.openxmlformats.org/officeDocument/2006/relationships/hyperlink" Target="https://www.coara.eu/" TargetMode="External"/><Relationship Id="rId25" Type="http://schemas.openxmlformats.org/officeDocument/2006/relationships/hyperlink" Target="https://frq.gouv.qc.ca/ethique/" TargetMode="External"/><Relationship Id="rId33" Type="http://schemas.openxmlformats.org/officeDocument/2006/relationships/hyperlink" Target="https://frq.gouv.qc.ca/cv-frq/" TargetMode="External"/><Relationship Id="rId38" Type="http://schemas.openxmlformats.org/officeDocument/2006/relationships/header" Target="header1.xml"/><Relationship Id="rId20" Type="http://schemas.openxmlformats.org/officeDocument/2006/relationships/hyperlink" Target="https://www.legisquebec.gouv.qc.ca/fr/document/lc/e-20.1" TargetMode="External"/><Relationship Id="rId41" Type="http://schemas.openxmlformats.org/officeDocument/2006/relationships/footer" Target="footer2.xml"/></Relationships>
</file>

<file path=word/theme/theme1.xml><?xml version="1.0" encoding="utf-8"?>
<a:theme xmlns:a="http://schemas.openxmlformats.org/drawingml/2006/main" name="Thèm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e3b09d-f816-43f2-91c8-4eaca36e4eea">
      <Terms xmlns="http://schemas.microsoft.com/office/infopath/2007/PartnerControls"/>
    </lcf76f155ced4ddcb4097134ff3c332f>
    <TaxCatchAll xmlns="55d73ba1-bcdd-4bf1-b825-da9ccb4f2605" xsi:nil="true"/>
    <Anneedeconcours xmlns="d9e3b09d-f816-43f2-91c8-4eaca36e4e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6EE9A8BA7D7944ADA94C85F9A6B4F9" ma:contentTypeVersion="15" ma:contentTypeDescription="Crée un document." ma:contentTypeScope="" ma:versionID="f437fb16b3df8c31014d2b3cd74ce87f">
  <xsd:schema xmlns:xsd="http://www.w3.org/2001/XMLSchema" xmlns:xs="http://www.w3.org/2001/XMLSchema" xmlns:p="http://schemas.microsoft.com/office/2006/metadata/properties" xmlns:ns2="d9e3b09d-f816-43f2-91c8-4eaca36e4eea" xmlns:ns3="55d73ba1-bcdd-4bf1-b825-da9ccb4f2605" targetNamespace="http://schemas.microsoft.com/office/2006/metadata/properties" ma:root="true" ma:fieldsID="f5849e1eee70e1ac858f5102682ed733" ns2:_="" ns3:_="">
    <xsd:import namespace="d9e3b09d-f816-43f2-91c8-4eaca36e4eea"/>
    <xsd:import namespace="55d73ba1-bcdd-4bf1-b825-da9ccb4f26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Anneedeconcour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3b09d-f816-43f2-91c8-4eaca36e4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Anneedeconcours" ma:index="21" nillable="true" ma:displayName="Année" ma:format="Dropdown" ma:internalName="Anneedeconcours">
      <xsd:simpleType>
        <xsd:restriction base="dms:Choice">
          <xsd:enumeration value="2024-2025"/>
          <xsd:enumeration value="2025-2026"/>
          <xsd:enumeration value="2026-2027"/>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73ba1-bcdd-4bf1-b825-da9ccb4f260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a2f3e6fb-8f56-4315-82be-4efd9920ecde}" ma:internalName="TaxCatchAll" ma:showField="CatchAllData" ma:web="55d73ba1-bcdd-4bf1-b825-da9ccb4f2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51248-43DA-452D-9147-09C6DD9E4E89}">
  <ds:schemaRefs>
    <ds:schemaRef ds:uri="http://schemas.microsoft.com/office/2006/metadata/properties"/>
    <ds:schemaRef ds:uri="http://schemas.microsoft.com/office/infopath/2007/PartnerControls"/>
    <ds:schemaRef ds:uri="17b087d7-24ae-4634-98f0-8f55d89a0112"/>
    <ds:schemaRef ds:uri="eadda6d1-e2b6-4937-9926-1d2319e4bffa"/>
  </ds:schemaRefs>
</ds:datastoreItem>
</file>

<file path=customXml/itemProps2.xml><?xml version="1.0" encoding="utf-8"?>
<ds:datastoreItem xmlns:ds="http://schemas.openxmlformats.org/officeDocument/2006/customXml" ds:itemID="{3C3F8731-2E25-4C28-8EC4-C05219563902}"/>
</file>

<file path=customXml/itemProps3.xml><?xml version="1.0" encoding="utf-8"?>
<ds:datastoreItem xmlns:ds="http://schemas.openxmlformats.org/officeDocument/2006/customXml" ds:itemID="{CE8C35D0-13A4-4A8A-A0E8-43E1824A4524}">
  <ds:schemaRefs>
    <ds:schemaRef ds:uri="http://schemas.microsoft.com/sharepoint/v3/contenttype/forms"/>
  </ds:schemaRefs>
</ds:datastoreItem>
</file>

<file path=customXml/itemProps4.xml><?xml version="1.0" encoding="utf-8"?>
<ds:datastoreItem xmlns:ds="http://schemas.openxmlformats.org/officeDocument/2006/customXml" ds:itemID="{8C7BB3DF-7E67-435D-9532-79F22FE47402}">
  <ds:schemaRefs>
    <ds:schemaRef ds:uri="http://schemas.openxmlformats.org/officeDocument/2006/bibliography"/>
  </ds:schemaRefs>
</ds:datastoreItem>
</file>

<file path=docMetadata/LabelInfo.xml><?xml version="1.0" encoding="utf-8"?>
<clbl:labelList xmlns:clbl="http://schemas.microsoft.com/office/2020/mipLabelMetadata">
  <clbl:label id="{f76b3e81-df9b-4246-95de-8424b570b191}" enabled="1" method="Standard" siteId="{196b8e58-0b06-4da7-9a08-642fdcb23237}"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8735</Words>
  <Characters>47524</Characters>
  <Application>Microsoft Office Word</Application>
  <DocSecurity>4</DocSecurity>
  <Lines>950</Lines>
  <Paragraphs>677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55582</CharactersWithSpaces>
  <SharedDoc>false</SharedDoc>
  <HLinks>
    <vt:vector size="540" baseType="variant">
      <vt:variant>
        <vt:i4>6488190</vt:i4>
      </vt:variant>
      <vt:variant>
        <vt:i4>351</vt:i4>
      </vt:variant>
      <vt:variant>
        <vt:i4>0</vt:i4>
      </vt:variant>
      <vt:variant>
        <vt:i4>5</vt:i4>
      </vt:variant>
      <vt:variant>
        <vt:lpwstr>https://frq.gouv.qc.ca/science-ouverte/politique-diffusion-libre-acces/</vt:lpwstr>
      </vt:variant>
      <vt:variant>
        <vt:lpwstr/>
      </vt:variant>
      <vt:variant>
        <vt:i4>5046362</vt:i4>
      </vt:variant>
      <vt:variant>
        <vt:i4>348</vt:i4>
      </vt:variant>
      <vt:variant>
        <vt:i4>0</vt:i4>
      </vt:variant>
      <vt:variant>
        <vt:i4>5</vt:i4>
      </vt:variant>
      <vt:variant>
        <vt:lpwstr>https://frq.gouv.qc.ca/programme/soutien-a-la-recherche-pour-la-releve-professorale-np-2026-2027/</vt:lpwstr>
      </vt:variant>
      <vt:variant>
        <vt:lpwstr/>
      </vt:variant>
      <vt:variant>
        <vt:i4>2621556</vt:i4>
      </vt:variant>
      <vt:variant>
        <vt:i4>345</vt:i4>
      </vt:variant>
      <vt:variant>
        <vt:i4>0</vt:i4>
      </vt:variant>
      <vt:variant>
        <vt:i4>5</vt:i4>
      </vt:variant>
      <vt:variant>
        <vt:lpwstr>https://frq.gouv.qc.ca/programme/ chercheurs-boursiers-chercheuses-boursieres-cb-2026-2027</vt:lpwstr>
      </vt:variant>
      <vt:variant>
        <vt:lpwstr/>
      </vt:variant>
      <vt:variant>
        <vt:i4>2818093</vt:i4>
      </vt:variant>
      <vt:variant>
        <vt:i4>342</vt:i4>
      </vt:variant>
      <vt:variant>
        <vt:i4>0</vt:i4>
      </vt:variant>
      <vt:variant>
        <vt:i4>5</vt:i4>
      </vt:variant>
      <vt:variant>
        <vt:lpwstr>https://frq.gouv.qc.ca/programme/etablissement-de-la-releve-professorale-2026-2027</vt:lpwstr>
      </vt:variant>
      <vt:variant>
        <vt:lpwstr/>
      </vt:variant>
      <vt:variant>
        <vt:i4>4587587</vt:i4>
      </vt:variant>
      <vt:variant>
        <vt:i4>339</vt:i4>
      </vt:variant>
      <vt:variant>
        <vt:i4>0</vt:i4>
      </vt:variant>
      <vt:variant>
        <vt:i4>5</vt:i4>
      </vt:variant>
      <vt:variant>
        <vt:lpwstr>https://frq.gouv.qc.ca/la-conduite-responsable-en-recherche/</vt:lpwstr>
      </vt:variant>
      <vt:variant>
        <vt:lpwstr/>
      </vt:variant>
      <vt:variant>
        <vt:i4>1114177</vt:i4>
      </vt:variant>
      <vt:variant>
        <vt:i4>336</vt:i4>
      </vt:variant>
      <vt:variant>
        <vt:i4>0</vt:i4>
      </vt:variant>
      <vt:variant>
        <vt:i4>5</vt:i4>
      </vt:variant>
      <vt:variant>
        <vt:lpwstr>https://ethique.msss.gouv.qc.ca/didacticiel/</vt:lpwstr>
      </vt:variant>
      <vt:variant>
        <vt:lpwstr/>
      </vt:variant>
      <vt:variant>
        <vt:i4>1114140</vt:i4>
      </vt:variant>
      <vt:variant>
        <vt:i4>333</vt:i4>
      </vt:variant>
      <vt:variant>
        <vt:i4>0</vt:i4>
      </vt:variant>
      <vt:variant>
        <vt:i4>5</vt:i4>
      </vt:variant>
      <vt:variant>
        <vt:lpwstr>https://www.legisquebec.gouv.qc.ca/fr/document/lc/e-20.1</vt:lpwstr>
      </vt:variant>
      <vt:variant>
        <vt:lpwstr/>
      </vt:variant>
      <vt:variant>
        <vt:i4>7929893</vt:i4>
      </vt:variant>
      <vt:variant>
        <vt:i4>330</vt:i4>
      </vt:variant>
      <vt:variant>
        <vt:i4>0</vt:i4>
      </vt:variant>
      <vt:variant>
        <vt:i4>5</vt:i4>
      </vt:variant>
      <vt:variant>
        <vt:lpwstr>https://frq.gouv.qc.ca/cv-frq/</vt:lpwstr>
      </vt:variant>
      <vt:variant>
        <vt:lpwstr/>
      </vt:variant>
      <vt:variant>
        <vt:i4>8192079</vt:i4>
      </vt:variant>
      <vt:variant>
        <vt:i4>327</vt:i4>
      </vt:variant>
      <vt:variant>
        <vt:i4>0</vt:i4>
      </vt:variant>
      <vt:variant>
        <vt:i4>5</vt:i4>
      </vt:variant>
      <vt:variant>
        <vt:lpwstr>https://frqnet.frq.gouv.qc.ca/Documents/normes_presentation.pdf</vt:lpwstr>
      </vt:variant>
      <vt:variant>
        <vt:lpwstr/>
      </vt:variant>
      <vt:variant>
        <vt:i4>8257540</vt:i4>
      </vt:variant>
      <vt:variant>
        <vt:i4>324</vt:i4>
      </vt:variant>
      <vt:variant>
        <vt:i4>0</vt:i4>
      </vt:variant>
      <vt:variant>
        <vt:i4>5</vt:i4>
      </vt:variant>
      <vt:variant>
        <vt:lpwstr>https://frqnet.frq.gouv.qc.ca/Documents/CV-FRQ_instructions.pdf</vt:lpwstr>
      </vt:variant>
      <vt:variant>
        <vt:lpwstr/>
      </vt:variant>
      <vt:variant>
        <vt:i4>6553627</vt:i4>
      </vt:variant>
      <vt:variant>
        <vt:i4>321</vt:i4>
      </vt:variant>
      <vt:variant>
        <vt:i4>0</vt:i4>
      </vt:variant>
      <vt:variant>
        <vt:i4>5</vt:i4>
      </vt:variant>
      <vt:variant>
        <vt:lpwstr>https://frqnet.frq.gouv.qc.ca/Documents/CV-FRQ_modele.docx</vt:lpwstr>
      </vt:variant>
      <vt:variant>
        <vt:lpwstr/>
      </vt:variant>
      <vt:variant>
        <vt:i4>786494</vt:i4>
      </vt:variant>
      <vt:variant>
        <vt:i4>318</vt:i4>
      </vt:variant>
      <vt:variant>
        <vt:i4>0</vt:i4>
      </vt:variant>
      <vt:variant>
        <vt:i4>5</vt:i4>
      </vt:variant>
      <vt:variant>
        <vt:lpwstr>https://frq.gouv.qc.ca/app/uploads/2025/06/liste_comites.pdf</vt:lpwstr>
      </vt:variant>
      <vt:variant>
        <vt:lpwstr/>
      </vt:variant>
      <vt:variant>
        <vt:i4>3670066</vt:i4>
      </vt:variant>
      <vt:variant>
        <vt:i4>315</vt:i4>
      </vt:variant>
      <vt:variant>
        <vt:i4>0</vt:i4>
      </vt:variant>
      <vt:variant>
        <vt:i4>5</vt:i4>
      </vt:variant>
      <vt:variant>
        <vt:lpwstr>https://frq.gouv.qc.ca/app/uploads/2025/06/lignes_directrices_choix.pdf</vt:lpwstr>
      </vt:variant>
      <vt:variant>
        <vt:lpwstr/>
      </vt:variant>
      <vt:variant>
        <vt:i4>8192108</vt:i4>
      </vt:variant>
      <vt:variant>
        <vt:i4>312</vt:i4>
      </vt:variant>
      <vt:variant>
        <vt:i4>0</vt:i4>
      </vt:variant>
      <vt:variant>
        <vt:i4>5</vt:i4>
      </vt:variant>
      <vt:variant>
        <vt:lpwstr>https://frq.gouv.qc.ca/societe-et-culture/mission-et-domaines-de-recherche/</vt:lpwstr>
      </vt:variant>
      <vt:variant>
        <vt:lpwstr/>
      </vt:variant>
      <vt:variant>
        <vt:i4>2162797</vt:i4>
      </vt:variant>
      <vt:variant>
        <vt:i4>309</vt:i4>
      </vt:variant>
      <vt:variant>
        <vt:i4>0</vt:i4>
      </vt:variant>
      <vt:variant>
        <vt:i4>5</vt:i4>
      </vt:variant>
      <vt:variant>
        <vt:lpwstr>https://frq.gouv.qc.ca/sante/mission-et-domaines-de-recherche/</vt:lpwstr>
      </vt:variant>
      <vt:variant>
        <vt:lpwstr/>
      </vt:variant>
      <vt:variant>
        <vt:i4>7340150</vt:i4>
      </vt:variant>
      <vt:variant>
        <vt:i4>306</vt:i4>
      </vt:variant>
      <vt:variant>
        <vt:i4>0</vt:i4>
      </vt:variant>
      <vt:variant>
        <vt:i4>5</vt:i4>
      </vt:variant>
      <vt:variant>
        <vt:lpwstr>https://frq.gouv.qc.ca/nature-et-technologies/mission-et-domaines-de-recherche/</vt:lpwstr>
      </vt:variant>
      <vt:variant>
        <vt:lpwstr/>
      </vt:variant>
      <vt:variant>
        <vt:i4>4587587</vt:i4>
      </vt:variant>
      <vt:variant>
        <vt:i4>303</vt:i4>
      </vt:variant>
      <vt:variant>
        <vt:i4>0</vt:i4>
      </vt:variant>
      <vt:variant>
        <vt:i4>5</vt:i4>
      </vt:variant>
      <vt:variant>
        <vt:lpwstr>https://frq.gouv.qc.ca/la-conduite-responsable-en-recherche/</vt:lpwstr>
      </vt:variant>
      <vt:variant>
        <vt:lpwstr/>
      </vt:variant>
      <vt:variant>
        <vt:i4>7929982</vt:i4>
      </vt:variant>
      <vt:variant>
        <vt:i4>300</vt:i4>
      </vt:variant>
      <vt:variant>
        <vt:i4>0</vt:i4>
      </vt:variant>
      <vt:variant>
        <vt:i4>5</vt:i4>
      </vt:variant>
      <vt:variant>
        <vt:lpwstr>https://frq.gouv.qc.ca/science-ouverte/politique-diffusion-2022</vt:lpwstr>
      </vt:variant>
      <vt:variant>
        <vt:lpwstr/>
      </vt:variant>
      <vt:variant>
        <vt:i4>7536684</vt:i4>
      </vt:variant>
      <vt:variant>
        <vt:i4>297</vt:i4>
      </vt:variant>
      <vt:variant>
        <vt:i4>0</vt:i4>
      </vt:variant>
      <vt:variant>
        <vt:i4>5</vt:i4>
      </vt:variant>
      <vt:variant>
        <vt:lpwstr>https://frq.gouv.qc.ca/ethique/</vt:lpwstr>
      </vt:variant>
      <vt:variant>
        <vt:lpwstr/>
      </vt:variant>
      <vt:variant>
        <vt:i4>8192079</vt:i4>
      </vt:variant>
      <vt:variant>
        <vt:i4>294</vt:i4>
      </vt:variant>
      <vt:variant>
        <vt:i4>0</vt:i4>
      </vt:variant>
      <vt:variant>
        <vt:i4>5</vt:i4>
      </vt:variant>
      <vt:variant>
        <vt:lpwstr>https://frqnet.frq.gouv.qc.ca/Documents/normes_presentation.pdf</vt:lpwstr>
      </vt:variant>
      <vt:variant>
        <vt:lpwstr/>
      </vt:variant>
      <vt:variant>
        <vt:i4>8192103</vt:i4>
      </vt:variant>
      <vt:variant>
        <vt:i4>291</vt:i4>
      </vt:variant>
      <vt:variant>
        <vt:i4>0</vt:i4>
      </vt:variant>
      <vt:variant>
        <vt:i4>5</vt:i4>
      </vt:variant>
      <vt:variant>
        <vt:lpwstr>https://frqnet.frq.gouv.qc.ca/</vt:lpwstr>
      </vt:variant>
      <vt:variant>
        <vt:lpwstr/>
      </vt:variant>
      <vt:variant>
        <vt:i4>1572928</vt:i4>
      </vt:variant>
      <vt:variant>
        <vt:i4>288</vt:i4>
      </vt:variant>
      <vt:variant>
        <vt:i4>0</vt:i4>
      </vt:variant>
      <vt:variant>
        <vt:i4>5</vt:i4>
      </vt:variant>
      <vt:variant>
        <vt:lpwstr>https://frq.gouv.qc.ca/declaration-de-sejour-hors-quebec/</vt:lpwstr>
      </vt:variant>
      <vt:variant>
        <vt:lpwstr/>
      </vt:variant>
      <vt:variant>
        <vt:i4>1114140</vt:i4>
      </vt:variant>
      <vt:variant>
        <vt:i4>285</vt:i4>
      </vt:variant>
      <vt:variant>
        <vt:i4>0</vt:i4>
      </vt:variant>
      <vt:variant>
        <vt:i4>5</vt:i4>
      </vt:variant>
      <vt:variant>
        <vt:lpwstr>https://www.legisquebec.gouv.qc.ca/fr/document/lc/e-20.1</vt:lpwstr>
      </vt:variant>
      <vt:variant>
        <vt:lpwstr/>
      </vt:variant>
      <vt:variant>
        <vt:i4>1835094</vt:i4>
      </vt:variant>
      <vt:variant>
        <vt:i4>282</vt:i4>
      </vt:variant>
      <vt:variant>
        <vt:i4>0</vt:i4>
      </vt:variant>
      <vt:variant>
        <vt:i4>5</vt:i4>
      </vt:variant>
      <vt:variant>
        <vt:lpwstr>https://frq.gouv.qc.ca/concours-ouverts/</vt:lpwstr>
      </vt:variant>
      <vt:variant>
        <vt:lpwstr/>
      </vt:variant>
      <vt:variant>
        <vt:i4>5570610</vt:i4>
      </vt:variant>
      <vt:variant>
        <vt:i4>198</vt:i4>
      </vt:variant>
      <vt:variant>
        <vt:i4>0</vt:i4>
      </vt:variant>
      <vt:variant>
        <vt:i4>5</vt:i4>
      </vt:variant>
      <vt:variant>
        <vt:lpwstr>mailto:bourspost.sc@frq.gouv.qc.ca</vt:lpwstr>
      </vt:variant>
      <vt:variant>
        <vt:lpwstr/>
      </vt:variant>
      <vt:variant>
        <vt:i4>5570610</vt:i4>
      </vt:variant>
      <vt:variant>
        <vt:i4>195</vt:i4>
      </vt:variant>
      <vt:variant>
        <vt:i4>0</vt:i4>
      </vt:variant>
      <vt:variant>
        <vt:i4>5</vt:i4>
      </vt:variant>
      <vt:variant>
        <vt:lpwstr>mailto:bourspost.sc@frq.gouv.qc.ca</vt:lpwstr>
      </vt:variant>
      <vt:variant>
        <vt:lpwstr/>
      </vt:variant>
      <vt:variant>
        <vt:i4>8323081</vt:i4>
      </vt:variant>
      <vt:variant>
        <vt:i4>192</vt:i4>
      </vt:variant>
      <vt:variant>
        <vt:i4>0</vt:i4>
      </vt:variant>
      <vt:variant>
        <vt:i4>5</vt:i4>
      </vt:variant>
      <vt:variant>
        <vt:lpwstr>mailto:michel.garceau@frq.gouv.qc.ca</vt:lpwstr>
      </vt:variant>
      <vt:variant>
        <vt:lpwstr/>
      </vt:variant>
      <vt:variant>
        <vt:i4>8192103</vt:i4>
      </vt:variant>
      <vt:variant>
        <vt:i4>189</vt:i4>
      </vt:variant>
      <vt:variant>
        <vt:i4>0</vt:i4>
      </vt:variant>
      <vt:variant>
        <vt:i4>5</vt:i4>
      </vt:variant>
      <vt:variant>
        <vt:lpwstr>https://frqnet.frq.gouv.qc.ca/</vt:lpwstr>
      </vt:variant>
      <vt:variant>
        <vt:lpwstr/>
      </vt:variant>
      <vt:variant>
        <vt:i4>65604</vt:i4>
      </vt:variant>
      <vt:variant>
        <vt:i4>186</vt:i4>
      </vt:variant>
      <vt:variant>
        <vt:i4>0</vt:i4>
      </vt:variant>
      <vt:variant>
        <vt:i4>5</vt:i4>
      </vt:variant>
      <vt:variant>
        <vt:lpwstr>https://frq.gouv.qc.ca/regles-generales-communes/</vt:lpwstr>
      </vt:variant>
      <vt:variant>
        <vt:lpwstr/>
      </vt:variant>
      <vt:variant>
        <vt:i4>2031665</vt:i4>
      </vt:variant>
      <vt:variant>
        <vt:i4>182</vt:i4>
      </vt:variant>
      <vt:variant>
        <vt:i4>0</vt:i4>
      </vt:variant>
      <vt:variant>
        <vt:i4>5</vt:i4>
      </vt:variant>
      <vt:variant>
        <vt:lpwstr/>
      </vt:variant>
      <vt:variant>
        <vt:lpwstr>_Toc202944554</vt:lpwstr>
      </vt:variant>
      <vt:variant>
        <vt:i4>2031665</vt:i4>
      </vt:variant>
      <vt:variant>
        <vt:i4>179</vt:i4>
      </vt:variant>
      <vt:variant>
        <vt:i4>0</vt:i4>
      </vt:variant>
      <vt:variant>
        <vt:i4>5</vt:i4>
      </vt:variant>
      <vt:variant>
        <vt:lpwstr/>
      </vt:variant>
      <vt:variant>
        <vt:lpwstr>_Toc202944553</vt:lpwstr>
      </vt:variant>
      <vt:variant>
        <vt:i4>2031665</vt:i4>
      </vt:variant>
      <vt:variant>
        <vt:i4>176</vt:i4>
      </vt:variant>
      <vt:variant>
        <vt:i4>0</vt:i4>
      </vt:variant>
      <vt:variant>
        <vt:i4>5</vt:i4>
      </vt:variant>
      <vt:variant>
        <vt:lpwstr/>
      </vt:variant>
      <vt:variant>
        <vt:lpwstr>_Toc202944552</vt:lpwstr>
      </vt:variant>
      <vt:variant>
        <vt:i4>2031665</vt:i4>
      </vt:variant>
      <vt:variant>
        <vt:i4>173</vt:i4>
      </vt:variant>
      <vt:variant>
        <vt:i4>0</vt:i4>
      </vt:variant>
      <vt:variant>
        <vt:i4>5</vt:i4>
      </vt:variant>
      <vt:variant>
        <vt:lpwstr/>
      </vt:variant>
      <vt:variant>
        <vt:lpwstr>_Toc202944551</vt:lpwstr>
      </vt:variant>
      <vt:variant>
        <vt:i4>2031665</vt:i4>
      </vt:variant>
      <vt:variant>
        <vt:i4>170</vt:i4>
      </vt:variant>
      <vt:variant>
        <vt:i4>0</vt:i4>
      </vt:variant>
      <vt:variant>
        <vt:i4>5</vt:i4>
      </vt:variant>
      <vt:variant>
        <vt:lpwstr/>
      </vt:variant>
      <vt:variant>
        <vt:lpwstr>_Toc202944550</vt:lpwstr>
      </vt:variant>
      <vt:variant>
        <vt:i4>1966129</vt:i4>
      </vt:variant>
      <vt:variant>
        <vt:i4>167</vt:i4>
      </vt:variant>
      <vt:variant>
        <vt:i4>0</vt:i4>
      </vt:variant>
      <vt:variant>
        <vt:i4>5</vt:i4>
      </vt:variant>
      <vt:variant>
        <vt:lpwstr/>
      </vt:variant>
      <vt:variant>
        <vt:lpwstr>_Toc202944549</vt:lpwstr>
      </vt:variant>
      <vt:variant>
        <vt:i4>1966129</vt:i4>
      </vt:variant>
      <vt:variant>
        <vt:i4>164</vt:i4>
      </vt:variant>
      <vt:variant>
        <vt:i4>0</vt:i4>
      </vt:variant>
      <vt:variant>
        <vt:i4>5</vt:i4>
      </vt:variant>
      <vt:variant>
        <vt:lpwstr/>
      </vt:variant>
      <vt:variant>
        <vt:lpwstr>_Toc202944548</vt:lpwstr>
      </vt:variant>
      <vt:variant>
        <vt:i4>1966129</vt:i4>
      </vt:variant>
      <vt:variant>
        <vt:i4>161</vt:i4>
      </vt:variant>
      <vt:variant>
        <vt:i4>0</vt:i4>
      </vt:variant>
      <vt:variant>
        <vt:i4>5</vt:i4>
      </vt:variant>
      <vt:variant>
        <vt:lpwstr/>
      </vt:variant>
      <vt:variant>
        <vt:lpwstr>_Toc202944547</vt:lpwstr>
      </vt:variant>
      <vt:variant>
        <vt:i4>1966129</vt:i4>
      </vt:variant>
      <vt:variant>
        <vt:i4>158</vt:i4>
      </vt:variant>
      <vt:variant>
        <vt:i4>0</vt:i4>
      </vt:variant>
      <vt:variant>
        <vt:i4>5</vt:i4>
      </vt:variant>
      <vt:variant>
        <vt:lpwstr/>
      </vt:variant>
      <vt:variant>
        <vt:lpwstr>_Toc202944546</vt:lpwstr>
      </vt:variant>
      <vt:variant>
        <vt:i4>1966129</vt:i4>
      </vt:variant>
      <vt:variant>
        <vt:i4>155</vt:i4>
      </vt:variant>
      <vt:variant>
        <vt:i4>0</vt:i4>
      </vt:variant>
      <vt:variant>
        <vt:i4>5</vt:i4>
      </vt:variant>
      <vt:variant>
        <vt:lpwstr/>
      </vt:variant>
      <vt:variant>
        <vt:lpwstr>_Toc202944545</vt:lpwstr>
      </vt:variant>
      <vt:variant>
        <vt:i4>1966129</vt:i4>
      </vt:variant>
      <vt:variant>
        <vt:i4>152</vt:i4>
      </vt:variant>
      <vt:variant>
        <vt:i4>0</vt:i4>
      </vt:variant>
      <vt:variant>
        <vt:i4>5</vt:i4>
      </vt:variant>
      <vt:variant>
        <vt:lpwstr/>
      </vt:variant>
      <vt:variant>
        <vt:lpwstr>_Toc202944544</vt:lpwstr>
      </vt:variant>
      <vt:variant>
        <vt:i4>1966129</vt:i4>
      </vt:variant>
      <vt:variant>
        <vt:i4>149</vt:i4>
      </vt:variant>
      <vt:variant>
        <vt:i4>0</vt:i4>
      </vt:variant>
      <vt:variant>
        <vt:i4>5</vt:i4>
      </vt:variant>
      <vt:variant>
        <vt:lpwstr/>
      </vt:variant>
      <vt:variant>
        <vt:lpwstr>_Toc202944543</vt:lpwstr>
      </vt:variant>
      <vt:variant>
        <vt:i4>1966129</vt:i4>
      </vt:variant>
      <vt:variant>
        <vt:i4>146</vt:i4>
      </vt:variant>
      <vt:variant>
        <vt:i4>0</vt:i4>
      </vt:variant>
      <vt:variant>
        <vt:i4>5</vt:i4>
      </vt:variant>
      <vt:variant>
        <vt:lpwstr/>
      </vt:variant>
      <vt:variant>
        <vt:lpwstr>_Toc202944542</vt:lpwstr>
      </vt:variant>
      <vt:variant>
        <vt:i4>1966129</vt:i4>
      </vt:variant>
      <vt:variant>
        <vt:i4>143</vt:i4>
      </vt:variant>
      <vt:variant>
        <vt:i4>0</vt:i4>
      </vt:variant>
      <vt:variant>
        <vt:i4>5</vt:i4>
      </vt:variant>
      <vt:variant>
        <vt:lpwstr/>
      </vt:variant>
      <vt:variant>
        <vt:lpwstr>_Toc202944541</vt:lpwstr>
      </vt:variant>
      <vt:variant>
        <vt:i4>1966129</vt:i4>
      </vt:variant>
      <vt:variant>
        <vt:i4>140</vt:i4>
      </vt:variant>
      <vt:variant>
        <vt:i4>0</vt:i4>
      </vt:variant>
      <vt:variant>
        <vt:i4>5</vt:i4>
      </vt:variant>
      <vt:variant>
        <vt:lpwstr/>
      </vt:variant>
      <vt:variant>
        <vt:lpwstr>_Toc202944540</vt:lpwstr>
      </vt:variant>
      <vt:variant>
        <vt:i4>1638449</vt:i4>
      </vt:variant>
      <vt:variant>
        <vt:i4>137</vt:i4>
      </vt:variant>
      <vt:variant>
        <vt:i4>0</vt:i4>
      </vt:variant>
      <vt:variant>
        <vt:i4>5</vt:i4>
      </vt:variant>
      <vt:variant>
        <vt:lpwstr/>
      </vt:variant>
      <vt:variant>
        <vt:lpwstr>_Toc202944539</vt:lpwstr>
      </vt:variant>
      <vt:variant>
        <vt:i4>1638449</vt:i4>
      </vt:variant>
      <vt:variant>
        <vt:i4>134</vt:i4>
      </vt:variant>
      <vt:variant>
        <vt:i4>0</vt:i4>
      </vt:variant>
      <vt:variant>
        <vt:i4>5</vt:i4>
      </vt:variant>
      <vt:variant>
        <vt:lpwstr/>
      </vt:variant>
      <vt:variant>
        <vt:lpwstr>_Toc202944538</vt:lpwstr>
      </vt:variant>
      <vt:variant>
        <vt:i4>1638449</vt:i4>
      </vt:variant>
      <vt:variant>
        <vt:i4>131</vt:i4>
      </vt:variant>
      <vt:variant>
        <vt:i4>0</vt:i4>
      </vt:variant>
      <vt:variant>
        <vt:i4>5</vt:i4>
      </vt:variant>
      <vt:variant>
        <vt:lpwstr/>
      </vt:variant>
      <vt:variant>
        <vt:lpwstr>_Toc202944537</vt:lpwstr>
      </vt:variant>
      <vt:variant>
        <vt:i4>1638449</vt:i4>
      </vt:variant>
      <vt:variant>
        <vt:i4>128</vt:i4>
      </vt:variant>
      <vt:variant>
        <vt:i4>0</vt:i4>
      </vt:variant>
      <vt:variant>
        <vt:i4>5</vt:i4>
      </vt:variant>
      <vt:variant>
        <vt:lpwstr/>
      </vt:variant>
      <vt:variant>
        <vt:lpwstr>_Toc202944536</vt:lpwstr>
      </vt:variant>
      <vt:variant>
        <vt:i4>1638449</vt:i4>
      </vt:variant>
      <vt:variant>
        <vt:i4>125</vt:i4>
      </vt:variant>
      <vt:variant>
        <vt:i4>0</vt:i4>
      </vt:variant>
      <vt:variant>
        <vt:i4>5</vt:i4>
      </vt:variant>
      <vt:variant>
        <vt:lpwstr/>
      </vt:variant>
      <vt:variant>
        <vt:lpwstr>_Toc202944535</vt:lpwstr>
      </vt:variant>
      <vt:variant>
        <vt:i4>1638449</vt:i4>
      </vt:variant>
      <vt:variant>
        <vt:i4>122</vt:i4>
      </vt:variant>
      <vt:variant>
        <vt:i4>0</vt:i4>
      </vt:variant>
      <vt:variant>
        <vt:i4>5</vt:i4>
      </vt:variant>
      <vt:variant>
        <vt:lpwstr/>
      </vt:variant>
      <vt:variant>
        <vt:lpwstr>_Toc202944534</vt:lpwstr>
      </vt:variant>
      <vt:variant>
        <vt:i4>1638449</vt:i4>
      </vt:variant>
      <vt:variant>
        <vt:i4>119</vt:i4>
      </vt:variant>
      <vt:variant>
        <vt:i4>0</vt:i4>
      </vt:variant>
      <vt:variant>
        <vt:i4>5</vt:i4>
      </vt:variant>
      <vt:variant>
        <vt:lpwstr/>
      </vt:variant>
      <vt:variant>
        <vt:lpwstr>_Toc202944533</vt:lpwstr>
      </vt:variant>
      <vt:variant>
        <vt:i4>1638449</vt:i4>
      </vt:variant>
      <vt:variant>
        <vt:i4>116</vt:i4>
      </vt:variant>
      <vt:variant>
        <vt:i4>0</vt:i4>
      </vt:variant>
      <vt:variant>
        <vt:i4>5</vt:i4>
      </vt:variant>
      <vt:variant>
        <vt:lpwstr/>
      </vt:variant>
      <vt:variant>
        <vt:lpwstr>_Toc202944532</vt:lpwstr>
      </vt:variant>
      <vt:variant>
        <vt:i4>1638449</vt:i4>
      </vt:variant>
      <vt:variant>
        <vt:i4>113</vt:i4>
      </vt:variant>
      <vt:variant>
        <vt:i4>0</vt:i4>
      </vt:variant>
      <vt:variant>
        <vt:i4>5</vt:i4>
      </vt:variant>
      <vt:variant>
        <vt:lpwstr/>
      </vt:variant>
      <vt:variant>
        <vt:lpwstr>_Toc202944531</vt:lpwstr>
      </vt:variant>
      <vt:variant>
        <vt:i4>1638449</vt:i4>
      </vt:variant>
      <vt:variant>
        <vt:i4>110</vt:i4>
      </vt:variant>
      <vt:variant>
        <vt:i4>0</vt:i4>
      </vt:variant>
      <vt:variant>
        <vt:i4>5</vt:i4>
      </vt:variant>
      <vt:variant>
        <vt:lpwstr/>
      </vt:variant>
      <vt:variant>
        <vt:lpwstr>_Toc202944530</vt:lpwstr>
      </vt:variant>
      <vt:variant>
        <vt:i4>1572913</vt:i4>
      </vt:variant>
      <vt:variant>
        <vt:i4>107</vt:i4>
      </vt:variant>
      <vt:variant>
        <vt:i4>0</vt:i4>
      </vt:variant>
      <vt:variant>
        <vt:i4>5</vt:i4>
      </vt:variant>
      <vt:variant>
        <vt:lpwstr/>
      </vt:variant>
      <vt:variant>
        <vt:lpwstr>_Toc202944529</vt:lpwstr>
      </vt:variant>
      <vt:variant>
        <vt:i4>1572913</vt:i4>
      </vt:variant>
      <vt:variant>
        <vt:i4>104</vt:i4>
      </vt:variant>
      <vt:variant>
        <vt:i4>0</vt:i4>
      </vt:variant>
      <vt:variant>
        <vt:i4>5</vt:i4>
      </vt:variant>
      <vt:variant>
        <vt:lpwstr/>
      </vt:variant>
      <vt:variant>
        <vt:lpwstr>_Toc202944528</vt:lpwstr>
      </vt:variant>
      <vt:variant>
        <vt:i4>1572913</vt:i4>
      </vt:variant>
      <vt:variant>
        <vt:i4>101</vt:i4>
      </vt:variant>
      <vt:variant>
        <vt:i4>0</vt:i4>
      </vt:variant>
      <vt:variant>
        <vt:i4>5</vt:i4>
      </vt:variant>
      <vt:variant>
        <vt:lpwstr/>
      </vt:variant>
      <vt:variant>
        <vt:lpwstr>_Toc202944527</vt:lpwstr>
      </vt:variant>
      <vt:variant>
        <vt:i4>1572913</vt:i4>
      </vt:variant>
      <vt:variant>
        <vt:i4>98</vt:i4>
      </vt:variant>
      <vt:variant>
        <vt:i4>0</vt:i4>
      </vt:variant>
      <vt:variant>
        <vt:i4>5</vt:i4>
      </vt:variant>
      <vt:variant>
        <vt:lpwstr/>
      </vt:variant>
      <vt:variant>
        <vt:lpwstr>_Toc202944526</vt:lpwstr>
      </vt:variant>
      <vt:variant>
        <vt:i4>1572913</vt:i4>
      </vt:variant>
      <vt:variant>
        <vt:i4>95</vt:i4>
      </vt:variant>
      <vt:variant>
        <vt:i4>0</vt:i4>
      </vt:variant>
      <vt:variant>
        <vt:i4>5</vt:i4>
      </vt:variant>
      <vt:variant>
        <vt:lpwstr/>
      </vt:variant>
      <vt:variant>
        <vt:lpwstr>_Toc202944525</vt:lpwstr>
      </vt:variant>
      <vt:variant>
        <vt:i4>1572913</vt:i4>
      </vt:variant>
      <vt:variant>
        <vt:i4>92</vt:i4>
      </vt:variant>
      <vt:variant>
        <vt:i4>0</vt:i4>
      </vt:variant>
      <vt:variant>
        <vt:i4>5</vt:i4>
      </vt:variant>
      <vt:variant>
        <vt:lpwstr/>
      </vt:variant>
      <vt:variant>
        <vt:lpwstr>_Toc202944524</vt:lpwstr>
      </vt:variant>
      <vt:variant>
        <vt:i4>1572913</vt:i4>
      </vt:variant>
      <vt:variant>
        <vt:i4>89</vt:i4>
      </vt:variant>
      <vt:variant>
        <vt:i4>0</vt:i4>
      </vt:variant>
      <vt:variant>
        <vt:i4>5</vt:i4>
      </vt:variant>
      <vt:variant>
        <vt:lpwstr/>
      </vt:variant>
      <vt:variant>
        <vt:lpwstr>_Toc202944523</vt:lpwstr>
      </vt:variant>
      <vt:variant>
        <vt:i4>1572913</vt:i4>
      </vt:variant>
      <vt:variant>
        <vt:i4>86</vt:i4>
      </vt:variant>
      <vt:variant>
        <vt:i4>0</vt:i4>
      </vt:variant>
      <vt:variant>
        <vt:i4>5</vt:i4>
      </vt:variant>
      <vt:variant>
        <vt:lpwstr/>
      </vt:variant>
      <vt:variant>
        <vt:lpwstr>_Toc202944522</vt:lpwstr>
      </vt:variant>
      <vt:variant>
        <vt:i4>1572913</vt:i4>
      </vt:variant>
      <vt:variant>
        <vt:i4>83</vt:i4>
      </vt:variant>
      <vt:variant>
        <vt:i4>0</vt:i4>
      </vt:variant>
      <vt:variant>
        <vt:i4>5</vt:i4>
      </vt:variant>
      <vt:variant>
        <vt:lpwstr/>
      </vt:variant>
      <vt:variant>
        <vt:lpwstr>_Toc202944521</vt:lpwstr>
      </vt:variant>
      <vt:variant>
        <vt:i4>1572913</vt:i4>
      </vt:variant>
      <vt:variant>
        <vt:i4>80</vt:i4>
      </vt:variant>
      <vt:variant>
        <vt:i4>0</vt:i4>
      </vt:variant>
      <vt:variant>
        <vt:i4>5</vt:i4>
      </vt:variant>
      <vt:variant>
        <vt:lpwstr/>
      </vt:variant>
      <vt:variant>
        <vt:lpwstr>_Toc202944520</vt:lpwstr>
      </vt:variant>
      <vt:variant>
        <vt:i4>1769521</vt:i4>
      </vt:variant>
      <vt:variant>
        <vt:i4>77</vt:i4>
      </vt:variant>
      <vt:variant>
        <vt:i4>0</vt:i4>
      </vt:variant>
      <vt:variant>
        <vt:i4>5</vt:i4>
      </vt:variant>
      <vt:variant>
        <vt:lpwstr/>
      </vt:variant>
      <vt:variant>
        <vt:lpwstr>_Toc202944519</vt:lpwstr>
      </vt:variant>
      <vt:variant>
        <vt:i4>1769521</vt:i4>
      </vt:variant>
      <vt:variant>
        <vt:i4>74</vt:i4>
      </vt:variant>
      <vt:variant>
        <vt:i4>0</vt:i4>
      </vt:variant>
      <vt:variant>
        <vt:i4>5</vt:i4>
      </vt:variant>
      <vt:variant>
        <vt:lpwstr/>
      </vt:variant>
      <vt:variant>
        <vt:lpwstr>_Toc202944518</vt:lpwstr>
      </vt:variant>
      <vt:variant>
        <vt:i4>1769521</vt:i4>
      </vt:variant>
      <vt:variant>
        <vt:i4>71</vt:i4>
      </vt:variant>
      <vt:variant>
        <vt:i4>0</vt:i4>
      </vt:variant>
      <vt:variant>
        <vt:i4>5</vt:i4>
      </vt:variant>
      <vt:variant>
        <vt:lpwstr/>
      </vt:variant>
      <vt:variant>
        <vt:lpwstr>_Toc202944517</vt:lpwstr>
      </vt:variant>
      <vt:variant>
        <vt:i4>1769521</vt:i4>
      </vt:variant>
      <vt:variant>
        <vt:i4>68</vt:i4>
      </vt:variant>
      <vt:variant>
        <vt:i4>0</vt:i4>
      </vt:variant>
      <vt:variant>
        <vt:i4>5</vt:i4>
      </vt:variant>
      <vt:variant>
        <vt:lpwstr/>
      </vt:variant>
      <vt:variant>
        <vt:lpwstr>_Toc202944516</vt:lpwstr>
      </vt:variant>
      <vt:variant>
        <vt:i4>1769521</vt:i4>
      </vt:variant>
      <vt:variant>
        <vt:i4>65</vt:i4>
      </vt:variant>
      <vt:variant>
        <vt:i4>0</vt:i4>
      </vt:variant>
      <vt:variant>
        <vt:i4>5</vt:i4>
      </vt:variant>
      <vt:variant>
        <vt:lpwstr/>
      </vt:variant>
      <vt:variant>
        <vt:lpwstr>_Toc202944515</vt:lpwstr>
      </vt:variant>
      <vt:variant>
        <vt:i4>1769521</vt:i4>
      </vt:variant>
      <vt:variant>
        <vt:i4>62</vt:i4>
      </vt:variant>
      <vt:variant>
        <vt:i4>0</vt:i4>
      </vt:variant>
      <vt:variant>
        <vt:i4>5</vt:i4>
      </vt:variant>
      <vt:variant>
        <vt:lpwstr/>
      </vt:variant>
      <vt:variant>
        <vt:lpwstr>_Toc202944514</vt:lpwstr>
      </vt:variant>
      <vt:variant>
        <vt:i4>1769521</vt:i4>
      </vt:variant>
      <vt:variant>
        <vt:i4>59</vt:i4>
      </vt:variant>
      <vt:variant>
        <vt:i4>0</vt:i4>
      </vt:variant>
      <vt:variant>
        <vt:i4>5</vt:i4>
      </vt:variant>
      <vt:variant>
        <vt:lpwstr/>
      </vt:variant>
      <vt:variant>
        <vt:lpwstr>_Toc202944513</vt:lpwstr>
      </vt:variant>
      <vt:variant>
        <vt:i4>1769521</vt:i4>
      </vt:variant>
      <vt:variant>
        <vt:i4>56</vt:i4>
      </vt:variant>
      <vt:variant>
        <vt:i4>0</vt:i4>
      </vt:variant>
      <vt:variant>
        <vt:i4>5</vt:i4>
      </vt:variant>
      <vt:variant>
        <vt:lpwstr/>
      </vt:variant>
      <vt:variant>
        <vt:lpwstr>_Toc202944512</vt:lpwstr>
      </vt:variant>
      <vt:variant>
        <vt:i4>1769521</vt:i4>
      </vt:variant>
      <vt:variant>
        <vt:i4>53</vt:i4>
      </vt:variant>
      <vt:variant>
        <vt:i4>0</vt:i4>
      </vt:variant>
      <vt:variant>
        <vt:i4>5</vt:i4>
      </vt:variant>
      <vt:variant>
        <vt:lpwstr/>
      </vt:variant>
      <vt:variant>
        <vt:lpwstr>_Toc202944511</vt:lpwstr>
      </vt:variant>
      <vt:variant>
        <vt:i4>1769521</vt:i4>
      </vt:variant>
      <vt:variant>
        <vt:i4>50</vt:i4>
      </vt:variant>
      <vt:variant>
        <vt:i4>0</vt:i4>
      </vt:variant>
      <vt:variant>
        <vt:i4>5</vt:i4>
      </vt:variant>
      <vt:variant>
        <vt:lpwstr/>
      </vt:variant>
      <vt:variant>
        <vt:lpwstr>_Toc202944510</vt:lpwstr>
      </vt:variant>
      <vt:variant>
        <vt:i4>1703985</vt:i4>
      </vt:variant>
      <vt:variant>
        <vt:i4>47</vt:i4>
      </vt:variant>
      <vt:variant>
        <vt:i4>0</vt:i4>
      </vt:variant>
      <vt:variant>
        <vt:i4>5</vt:i4>
      </vt:variant>
      <vt:variant>
        <vt:lpwstr/>
      </vt:variant>
      <vt:variant>
        <vt:lpwstr>_Toc202944509</vt:lpwstr>
      </vt:variant>
      <vt:variant>
        <vt:i4>1703985</vt:i4>
      </vt:variant>
      <vt:variant>
        <vt:i4>44</vt:i4>
      </vt:variant>
      <vt:variant>
        <vt:i4>0</vt:i4>
      </vt:variant>
      <vt:variant>
        <vt:i4>5</vt:i4>
      </vt:variant>
      <vt:variant>
        <vt:lpwstr/>
      </vt:variant>
      <vt:variant>
        <vt:lpwstr>_Toc202944508</vt:lpwstr>
      </vt:variant>
      <vt:variant>
        <vt:i4>1703985</vt:i4>
      </vt:variant>
      <vt:variant>
        <vt:i4>41</vt:i4>
      </vt:variant>
      <vt:variant>
        <vt:i4>0</vt:i4>
      </vt:variant>
      <vt:variant>
        <vt:i4>5</vt:i4>
      </vt:variant>
      <vt:variant>
        <vt:lpwstr/>
      </vt:variant>
      <vt:variant>
        <vt:lpwstr>_Toc202944507</vt:lpwstr>
      </vt:variant>
      <vt:variant>
        <vt:i4>1703985</vt:i4>
      </vt:variant>
      <vt:variant>
        <vt:i4>38</vt:i4>
      </vt:variant>
      <vt:variant>
        <vt:i4>0</vt:i4>
      </vt:variant>
      <vt:variant>
        <vt:i4>5</vt:i4>
      </vt:variant>
      <vt:variant>
        <vt:lpwstr/>
      </vt:variant>
      <vt:variant>
        <vt:lpwstr>_Toc202944506</vt:lpwstr>
      </vt:variant>
      <vt:variant>
        <vt:i4>1703985</vt:i4>
      </vt:variant>
      <vt:variant>
        <vt:i4>35</vt:i4>
      </vt:variant>
      <vt:variant>
        <vt:i4>0</vt:i4>
      </vt:variant>
      <vt:variant>
        <vt:i4>5</vt:i4>
      </vt:variant>
      <vt:variant>
        <vt:lpwstr/>
      </vt:variant>
      <vt:variant>
        <vt:lpwstr>_Toc202944505</vt:lpwstr>
      </vt:variant>
      <vt:variant>
        <vt:i4>1703985</vt:i4>
      </vt:variant>
      <vt:variant>
        <vt:i4>32</vt:i4>
      </vt:variant>
      <vt:variant>
        <vt:i4>0</vt:i4>
      </vt:variant>
      <vt:variant>
        <vt:i4>5</vt:i4>
      </vt:variant>
      <vt:variant>
        <vt:lpwstr/>
      </vt:variant>
      <vt:variant>
        <vt:lpwstr>_Toc202944504</vt:lpwstr>
      </vt:variant>
      <vt:variant>
        <vt:i4>1703985</vt:i4>
      </vt:variant>
      <vt:variant>
        <vt:i4>29</vt:i4>
      </vt:variant>
      <vt:variant>
        <vt:i4>0</vt:i4>
      </vt:variant>
      <vt:variant>
        <vt:i4>5</vt:i4>
      </vt:variant>
      <vt:variant>
        <vt:lpwstr/>
      </vt:variant>
      <vt:variant>
        <vt:lpwstr>_Toc202944503</vt:lpwstr>
      </vt:variant>
      <vt:variant>
        <vt:i4>1703985</vt:i4>
      </vt:variant>
      <vt:variant>
        <vt:i4>26</vt:i4>
      </vt:variant>
      <vt:variant>
        <vt:i4>0</vt:i4>
      </vt:variant>
      <vt:variant>
        <vt:i4>5</vt:i4>
      </vt:variant>
      <vt:variant>
        <vt:lpwstr/>
      </vt:variant>
      <vt:variant>
        <vt:lpwstr>_Toc202944502</vt:lpwstr>
      </vt:variant>
      <vt:variant>
        <vt:i4>1703985</vt:i4>
      </vt:variant>
      <vt:variant>
        <vt:i4>23</vt:i4>
      </vt:variant>
      <vt:variant>
        <vt:i4>0</vt:i4>
      </vt:variant>
      <vt:variant>
        <vt:i4>5</vt:i4>
      </vt:variant>
      <vt:variant>
        <vt:lpwstr/>
      </vt:variant>
      <vt:variant>
        <vt:lpwstr>_Toc202944501</vt:lpwstr>
      </vt:variant>
      <vt:variant>
        <vt:i4>1703985</vt:i4>
      </vt:variant>
      <vt:variant>
        <vt:i4>20</vt:i4>
      </vt:variant>
      <vt:variant>
        <vt:i4>0</vt:i4>
      </vt:variant>
      <vt:variant>
        <vt:i4>5</vt:i4>
      </vt:variant>
      <vt:variant>
        <vt:lpwstr/>
      </vt:variant>
      <vt:variant>
        <vt:lpwstr>_Toc202944500</vt:lpwstr>
      </vt:variant>
      <vt:variant>
        <vt:i4>1245232</vt:i4>
      </vt:variant>
      <vt:variant>
        <vt:i4>17</vt:i4>
      </vt:variant>
      <vt:variant>
        <vt:i4>0</vt:i4>
      </vt:variant>
      <vt:variant>
        <vt:i4>5</vt:i4>
      </vt:variant>
      <vt:variant>
        <vt:lpwstr/>
      </vt:variant>
      <vt:variant>
        <vt:lpwstr>_Toc202944499</vt:lpwstr>
      </vt:variant>
      <vt:variant>
        <vt:i4>1245232</vt:i4>
      </vt:variant>
      <vt:variant>
        <vt:i4>14</vt:i4>
      </vt:variant>
      <vt:variant>
        <vt:i4>0</vt:i4>
      </vt:variant>
      <vt:variant>
        <vt:i4>5</vt:i4>
      </vt:variant>
      <vt:variant>
        <vt:lpwstr/>
      </vt:variant>
      <vt:variant>
        <vt:lpwstr>_Toc202944498</vt:lpwstr>
      </vt:variant>
      <vt:variant>
        <vt:i4>1245232</vt:i4>
      </vt:variant>
      <vt:variant>
        <vt:i4>11</vt:i4>
      </vt:variant>
      <vt:variant>
        <vt:i4>0</vt:i4>
      </vt:variant>
      <vt:variant>
        <vt:i4>5</vt:i4>
      </vt:variant>
      <vt:variant>
        <vt:lpwstr/>
      </vt:variant>
      <vt:variant>
        <vt:lpwstr>_Toc202944497</vt:lpwstr>
      </vt:variant>
      <vt:variant>
        <vt:i4>1245232</vt:i4>
      </vt:variant>
      <vt:variant>
        <vt:i4>8</vt:i4>
      </vt:variant>
      <vt:variant>
        <vt:i4>0</vt:i4>
      </vt:variant>
      <vt:variant>
        <vt:i4>5</vt:i4>
      </vt:variant>
      <vt:variant>
        <vt:lpwstr/>
      </vt:variant>
      <vt:variant>
        <vt:lpwstr>_Toc202944496</vt:lpwstr>
      </vt:variant>
      <vt:variant>
        <vt:i4>1245232</vt:i4>
      </vt:variant>
      <vt:variant>
        <vt:i4>5</vt:i4>
      </vt:variant>
      <vt:variant>
        <vt:i4>0</vt:i4>
      </vt:variant>
      <vt:variant>
        <vt:i4>5</vt:i4>
      </vt:variant>
      <vt:variant>
        <vt:lpwstr/>
      </vt:variant>
      <vt:variant>
        <vt:lpwstr>_Toc202944495</vt:lpwstr>
      </vt:variant>
      <vt:variant>
        <vt:i4>1245232</vt:i4>
      </vt:variant>
      <vt:variant>
        <vt:i4>2</vt:i4>
      </vt:variant>
      <vt:variant>
        <vt:i4>0</vt:i4>
      </vt:variant>
      <vt:variant>
        <vt:i4>5</vt:i4>
      </vt:variant>
      <vt:variant>
        <vt:lpwstr/>
      </vt:variant>
      <vt:variant>
        <vt:lpwstr>_Toc202944494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Roy</dc:creator>
  <cp:keywords/>
  <dc:description/>
  <cp:lastModifiedBy>Sarah Bitter</cp:lastModifiedBy>
  <cp:revision>2</cp:revision>
  <cp:lastPrinted>2025-07-07T20:19:00Z</cp:lastPrinted>
  <dcterms:created xsi:type="dcterms:W3CDTF">2026-06-30T19:22:00Z</dcterms:created>
  <dcterms:modified xsi:type="dcterms:W3CDTF">2026-06-30T19:22:00Z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0x010100086EE9A8BA7D7944ADA94C85F9A6B4F9</vt:lpwstr>
  </property>
  <property fmtid="{D5CDD505-2E9C-101B-9397-08002B2CF9AE}" pid="3" name="MediaServiceImageTags">
    <vt:lpwstr/>
  </property>
</Properties>
</file>